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BD20" w14:textId="66B1D798" w:rsidR="004166A1" w:rsidRDefault="00BE43A4">
      <w:pPr>
        <w:rPr>
          <w:rFonts w:ascii="Arial" w:hAnsi="Arial" w:cs="Arial"/>
          <w:b/>
          <w:sz w:val="36"/>
          <w:szCs w:val="36"/>
        </w:rPr>
      </w:pPr>
      <w:r w:rsidRPr="00BE43A4">
        <w:rPr>
          <w:rFonts w:ascii="Arial" w:hAnsi="Arial" w:cs="Arial"/>
          <w:b/>
          <w:sz w:val="36"/>
          <w:szCs w:val="36"/>
        </w:rPr>
        <w:t>Prior Authorization and Utilization Management Side-by-Side</w:t>
      </w:r>
    </w:p>
    <w:p w14:paraId="4FA8BE3B" w14:textId="1796B960" w:rsidR="00C12A39" w:rsidRDefault="00C12A39">
      <w:pPr>
        <w:rPr>
          <w:rFonts w:ascii="Arial" w:hAnsi="Arial" w:cs="Arial"/>
          <w:b/>
          <w:sz w:val="36"/>
          <w:szCs w:val="36"/>
        </w:rPr>
      </w:pPr>
    </w:p>
    <w:p w14:paraId="0C52467C" w14:textId="5C3B7344" w:rsidR="00C12A39" w:rsidRDefault="00C12A39">
      <w:pPr>
        <w:rPr>
          <w:rFonts w:ascii="Arial" w:hAnsi="Arial" w:cs="Arial"/>
          <w:b/>
        </w:rPr>
      </w:pPr>
      <w:r w:rsidRPr="00C12A39">
        <w:rPr>
          <w:rFonts w:ascii="Arial" w:hAnsi="Arial" w:cs="Arial"/>
          <w:b/>
        </w:rPr>
        <w:t>Infographic simplified principles</w:t>
      </w:r>
      <w:r>
        <w:rPr>
          <w:rFonts w:ascii="Arial" w:hAnsi="Arial" w:cs="Arial"/>
          <w:b/>
        </w:rPr>
        <w:t xml:space="preserve"> </w:t>
      </w:r>
      <w:r w:rsidRPr="00C12A39">
        <w:rPr>
          <w:rFonts w:ascii="Arial" w:hAnsi="Arial" w:cs="Arial"/>
        </w:rPr>
        <w:t xml:space="preserve">(from </w:t>
      </w:r>
      <w:hyperlink r:id="rId8" w:history="1">
        <w:r w:rsidRPr="00C12A39">
          <w:rPr>
            <w:rStyle w:val="Hyperlink"/>
            <w:rFonts w:ascii="Arial" w:hAnsi="Arial" w:cs="Arial"/>
          </w:rPr>
          <w:t>AHIP agreed-upon principles</w:t>
        </w:r>
      </w:hyperlink>
      <w:r w:rsidRPr="00C12A39">
        <w:rPr>
          <w:rFonts w:ascii="Arial" w:hAnsi="Arial" w:cs="Arial"/>
        </w:rPr>
        <w:t>)</w:t>
      </w:r>
      <w:r>
        <w:rPr>
          <w:rFonts w:ascii="Arial" w:hAnsi="Arial" w:cs="Arial"/>
          <w:b/>
        </w:rPr>
        <w:t>:</w:t>
      </w:r>
    </w:p>
    <w:p w14:paraId="346C580C" w14:textId="6C3E168C" w:rsidR="00C12A39" w:rsidRPr="00C12A39" w:rsidRDefault="00C12A39" w:rsidP="00C12A39">
      <w:pPr>
        <w:pStyle w:val="ListParagraph"/>
        <w:numPr>
          <w:ilvl w:val="0"/>
          <w:numId w:val="2"/>
        </w:numPr>
        <w:rPr>
          <w:rFonts w:ascii="Arial" w:hAnsi="Arial" w:cs="Arial"/>
        </w:rPr>
      </w:pPr>
      <w:r w:rsidRPr="00C12A39">
        <w:rPr>
          <w:rFonts w:ascii="Arial" w:hAnsi="Arial" w:cs="Arial"/>
        </w:rPr>
        <w:t>PAs should be rare: Payers agreed to use PAs based on “stratification of performance” and evidence-based medicine</w:t>
      </w:r>
    </w:p>
    <w:p w14:paraId="24F3E7FB" w14:textId="67642184" w:rsidR="00C12A39" w:rsidRDefault="00C12A39" w:rsidP="00C12A39">
      <w:pPr>
        <w:pStyle w:val="ListParagraph"/>
        <w:numPr>
          <w:ilvl w:val="0"/>
          <w:numId w:val="2"/>
        </w:numPr>
        <w:rPr>
          <w:rFonts w:ascii="Arial" w:hAnsi="Arial" w:cs="Arial"/>
        </w:rPr>
      </w:pPr>
      <w:r w:rsidRPr="00C12A39">
        <w:rPr>
          <w:rFonts w:ascii="Arial" w:hAnsi="Arial" w:cs="Arial"/>
        </w:rPr>
        <w:t xml:space="preserve">Criteria should be clear: </w:t>
      </w:r>
      <w:r>
        <w:rPr>
          <w:rFonts w:ascii="Arial" w:hAnsi="Arial" w:cs="Arial"/>
        </w:rPr>
        <w:t>Payers agreed to make PA requirements, criteria and rationale transparent and easily accessible</w:t>
      </w:r>
    </w:p>
    <w:p w14:paraId="0766A10B" w14:textId="291BB917" w:rsidR="00C12A39" w:rsidRPr="00C12A39" w:rsidRDefault="00C12A39" w:rsidP="00C12A39">
      <w:pPr>
        <w:pStyle w:val="ListParagraph"/>
        <w:numPr>
          <w:ilvl w:val="0"/>
          <w:numId w:val="2"/>
        </w:numPr>
        <w:rPr>
          <w:rFonts w:ascii="Arial" w:hAnsi="Arial" w:cs="Arial"/>
        </w:rPr>
      </w:pPr>
      <w:r>
        <w:rPr>
          <w:rFonts w:ascii="Arial" w:hAnsi="Arial" w:cs="Arial"/>
        </w:rPr>
        <w:t>Protect Patients: Payers have agreed to protect care during active courses of treatment</w:t>
      </w:r>
    </w:p>
    <w:p w14:paraId="3C414F45" w14:textId="77777777" w:rsidR="005E6A93" w:rsidRDefault="005E6A93" w:rsidP="005E6A93">
      <w:pPr>
        <w:rPr>
          <w:rFonts w:ascii="Arial" w:hAnsi="Arial" w:cs="Arial"/>
          <w:b/>
          <w:sz w:val="36"/>
          <w:szCs w:val="36"/>
        </w:rPr>
      </w:pPr>
    </w:p>
    <w:p w14:paraId="41C351FE" w14:textId="544286B2" w:rsidR="004D694A" w:rsidRPr="005E6A93" w:rsidRDefault="004D694A" w:rsidP="005E6A93">
      <w:pPr>
        <w:rPr>
          <w:rFonts w:ascii="Arial" w:hAnsi="Arial" w:cs="Arial"/>
          <w:i/>
        </w:rPr>
      </w:pPr>
      <w:r w:rsidRPr="005E6A93">
        <w:rPr>
          <w:rFonts w:ascii="Arial" w:hAnsi="Arial" w:cs="Arial"/>
          <w:i/>
        </w:rPr>
        <w:t xml:space="preserve">Note: California legislation </w:t>
      </w:r>
      <w:r w:rsidR="005E6A93">
        <w:rPr>
          <w:rFonts w:ascii="Arial" w:hAnsi="Arial" w:cs="Arial"/>
          <w:i/>
        </w:rPr>
        <w:t xml:space="preserve">column </w:t>
      </w:r>
      <w:r w:rsidRPr="005E6A93">
        <w:rPr>
          <w:rFonts w:ascii="Arial" w:hAnsi="Arial" w:cs="Arial"/>
          <w:i/>
        </w:rPr>
        <w:t xml:space="preserve">does not reflect current Prior Authorization rules found in </w:t>
      </w:r>
      <w:r w:rsidR="005E6A93" w:rsidRPr="005E6A93">
        <w:rPr>
          <w:rFonts w:ascii="Arial" w:hAnsi="Arial" w:cs="Arial"/>
          <w:i/>
        </w:rPr>
        <w:t>§</w:t>
      </w:r>
      <w:r w:rsidRPr="005E6A93">
        <w:rPr>
          <w:rFonts w:ascii="Arial" w:hAnsi="Arial" w:cs="Arial"/>
          <w:i/>
        </w:rPr>
        <w:t xml:space="preserve">1367.01 of the Health and Safety Code, and </w:t>
      </w:r>
      <w:r w:rsidR="005E6A93" w:rsidRPr="005E6A93">
        <w:rPr>
          <w:rFonts w:ascii="Arial" w:hAnsi="Arial" w:cs="Arial"/>
          <w:i/>
        </w:rPr>
        <w:t>§</w:t>
      </w:r>
      <w:r w:rsidRPr="005E6A93">
        <w:rPr>
          <w:rFonts w:ascii="Arial" w:hAnsi="Arial" w:cs="Arial"/>
          <w:i/>
        </w:rPr>
        <w:t>10123.135</w:t>
      </w:r>
      <w:r w:rsidR="005E6A93" w:rsidRPr="005E6A93">
        <w:rPr>
          <w:rFonts w:ascii="Arial" w:hAnsi="Arial" w:cs="Arial"/>
          <w:i/>
        </w:rPr>
        <w:t xml:space="preserve"> of the Insurance Code.</w:t>
      </w:r>
    </w:p>
    <w:p w14:paraId="0AEE9F16" w14:textId="7F59D6FF" w:rsidR="00BE43A4" w:rsidRPr="00BE43A4" w:rsidRDefault="00BE43A4">
      <w:pPr>
        <w:rPr>
          <w:rFonts w:ascii="Arial" w:hAnsi="Arial" w:cs="Arial"/>
          <w:sz w:val="22"/>
          <w:szCs w:val="22"/>
        </w:rPr>
      </w:pPr>
    </w:p>
    <w:tbl>
      <w:tblPr>
        <w:tblStyle w:val="TableGrid"/>
        <w:tblW w:w="16915" w:type="dxa"/>
        <w:tblLayout w:type="fixed"/>
        <w:tblCellMar>
          <w:left w:w="115" w:type="dxa"/>
          <w:right w:w="115" w:type="dxa"/>
        </w:tblCellMar>
        <w:tblLook w:val="04A0" w:firstRow="1" w:lastRow="0" w:firstColumn="1" w:lastColumn="0" w:noHBand="0" w:noVBand="1"/>
      </w:tblPr>
      <w:tblGrid>
        <w:gridCol w:w="1698"/>
        <w:gridCol w:w="2506"/>
        <w:gridCol w:w="2631"/>
        <w:gridCol w:w="2430"/>
        <w:gridCol w:w="2430"/>
        <w:gridCol w:w="2610"/>
        <w:gridCol w:w="2610"/>
      </w:tblGrid>
      <w:tr w:rsidR="00256BE9" w:rsidRPr="00973AFD" w14:paraId="7D23BEBA" w14:textId="7D249695" w:rsidTr="00256BE9">
        <w:tc>
          <w:tcPr>
            <w:tcW w:w="1698" w:type="dxa"/>
          </w:tcPr>
          <w:p w14:paraId="76D82345" w14:textId="1001572C" w:rsidR="00256BE9" w:rsidRPr="00973AFD" w:rsidRDefault="00256BE9" w:rsidP="00256BE9">
            <w:pPr>
              <w:jc w:val="center"/>
              <w:rPr>
                <w:rFonts w:ascii="Arial" w:hAnsi="Arial" w:cs="Arial"/>
                <w:sz w:val="22"/>
                <w:szCs w:val="22"/>
                <w:u w:val="single"/>
              </w:rPr>
            </w:pPr>
            <w:r w:rsidRPr="00973AFD">
              <w:rPr>
                <w:rFonts w:ascii="Arial" w:hAnsi="Arial" w:cs="Arial"/>
                <w:sz w:val="22"/>
                <w:szCs w:val="22"/>
                <w:u w:val="single"/>
              </w:rPr>
              <w:t>Issue</w:t>
            </w:r>
          </w:p>
        </w:tc>
        <w:tc>
          <w:tcPr>
            <w:tcW w:w="2506" w:type="dxa"/>
          </w:tcPr>
          <w:p w14:paraId="5CCE0DAB" w14:textId="4B1B28CF" w:rsidR="00256BE9" w:rsidRPr="00C45C35" w:rsidRDefault="00256BE9" w:rsidP="00256BE9">
            <w:pPr>
              <w:jc w:val="center"/>
              <w:rPr>
                <w:rFonts w:ascii="Arial" w:hAnsi="Arial" w:cs="Arial"/>
                <w:sz w:val="22"/>
                <w:szCs w:val="22"/>
                <w:u w:val="single"/>
              </w:rPr>
            </w:pPr>
            <w:r w:rsidRPr="00C45C35">
              <w:rPr>
                <w:rFonts w:ascii="Arial" w:hAnsi="Arial" w:cs="Arial"/>
                <w:sz w:val="22"/>
                <w:szCs w:val="22"/>
                <w:u w:val="single"/>
              </w:rPr>
              <w:t>PPS Draft UM Principles</w:t>
            </w:r>
          </w:p>
        </w:tc>
        <w:tc>
          <w:tcPr>
            <w:tcW w:w="2631" w:type="dxa"/>
          </w:tcPr>
          <w:p w14:paraId="67EF3FD8" w14:textId="32F804E2" w:rsidR="00256BE9" w:rsidRPr="00973AFD" w:rsidRDefault="00256BE9" w:rsidP="00256BE9">
            <w:pPr>
              <w:jc w:val="center"/>
              <w:rPr>
                <w:rFonts w:ascii="Arial" w:hAnsi="Arial" w:cs="Arial"/>
                <w:sz w:val="22"/>
                <w:szCs w:val="22"/>
                <w:u w:val="single"/>
              </w:rPr>
            </w:pPr>
            <w:r w:rsidRPr="00973AFD">
              <w:rPr>
                <w:rFonts w:ascii="Arial" w:hAnsi="Arial" w:cs="Arial"/>
                <w:sz w:val="22"/>
                <w:szCs w:val="22"/>
                <w:u w:val="single"/>
              </w:rPr>
              <w:t>AMA Consensus Standard</w:t>
            </w:r>
            <w:r w:rsidRPr="00973AFD">
              <w:rPr>
                <w:rFonts w:ascii="Arial" w:hAnsi="Arial" w:cs="Arial"/>
                <w:sz w:val="22"/>
                <w:szCs w:val="22"/>
                <w:u w:val="single"/>
              </w:rPr>
              <w:br/>
              <w:t>(APTA Supports)</w:t>
            </w:r>
          </w:p>
        </w:tc>
        <w:tc>
          <w:tcPr>
            <w:tcW w:w="2430" w:type="dxa"/>
          </w:tcPr>
          <w:p w14:paraId="6F88D7E7" w14:textId="1E180F37" w:rsidR="00256BE9" w:rsidRDefault="00D51FDF" w:rsidP="00256BE9">
            <w:pPr>
              <w:jc w:val="center"/>
              <w:rPr>
                <w:rFonts w:ascii="Arial" w:hAnsi="Arial" w:cs="Arial"/>
                <w:sz w:val="22"/>
                <w:szCs w:val="22"/>
                <w:u w:val="single"/>
              </w:rPr>
            </w:pPr>
            <w:hyperlink r:id="rId9" w:history="1">
              <w:r w:rsidR="00256BE9" w:rsidRPr="006272D7">
                <w:rPr>
                  <w:rStyle w:val="Hyperlink"/>
                  <w:rFonts w:ascii="Arial" w:hAnsi="Arial" w:cs="Arial"/>
                  <w:sz w:val="22"/>
                  <w:szCs w:val="22"/>
                </w:rPr>
                <w:t>California legislation</w:t>
              </w:r>
            </w:hyperlink>
            <w:r w:rsidR="00256BE9">
              <w:rPr>
                <w:rStyle w:val="Hyperlink"/>
                <w:rFonts w:ascii="Arial" w:hAnsi="Arial" w:cs="Arial"/>
                <w:sz w:val="22"/>
                <w:szCs w:val="22"/>
              </w:rPr>
              <w:t xml:space="preserve"> - vetoed</w:t>
            </w:r>
          </w:p>
        </w:tc>
        <w:tc>
          <w:tcPr>
            <w:tcW w:w="2430" w:type="dxa"/>
          </w:tcPr>
          <w:p w14:paraId="63353484" w14:textId="447C4C53" w:rsidR="00256BE9" w:rsidRPr="00973AFD" w:rsidRDefault="00256BE9" w:rsidP="00256BE9">
            <w:pPr>
              <w:jc w:val="center"/>
              <w:rPr>
                <w:rFonts w:ascii="Arial" w:hAnsi="Arial" w:cs="Arial"/>
                <w:sz w:val="22"/>
                <w:szCs w:val="22"/>
                <w:u w:val="single"/>
              </w:rPr>
            </w:pPr>
            <w:r>
              <w:rPr>
                <w:rFonts w:ascii="Arial" w:hAnsi="Arial" w:cs="Arial"/>
                <w:sz w:val="22"/>
                <w:szCs w:val="22"/>
                <w:u w:val="single"/>
              </w:rPr>
              <w:t>Nebraska legislation</w:t>
            </w:r>
          </w:p>
        </w:tc>
        <w:tc>
          <w:tcPr>
            <w:tcW w:w="2610" w:type="dxa"/>
          </w:tcPr>
          <w:p w14:paraId="5FB6BEBD" w14:textId="41A04E75" w:rsidR="00256BE9" w:rsidRDefault="00256BE9" w:rsidP="00256BE9">
            <w:pPr>
              <w:jc w:val="center"/>
              <w:rPr>
                <w:rFonts w:ascii="Arial" w:hAnsi="Arial" w:cs="Arial"/>
                <w:sz w:val="22"/>
                <w:szCs w:val="22"/>
                <w:u w:val="single"/>
              </w:rPr>
            </w:pPr>
            <w:r w:rsidRPr="00436C82">
              <w:rPr>
                <w:rFonts w:ascii="Arial" w:hAnsi="Arial" w:cs="Arial"/>
                <w:sz w:val="22"/>
                <w:szCs w:val="22"/>
                <w:u w:val="single"/>
              </w:rPr>
              <w:t>Georgia law</w:t>
            </w:r>
          </w:p>
        </w:tc>
        <w:tc>
          <w:tcPr>
            <w:tcW w:w="2610" w:type="dxa"/>
          </w:tcPr>
          <w:p w14:paraId="52347DE2" w14:textId="77777777" w:rsidR="00256BE9" w:rsidRDefault="00D51FDF" w:rsidP="00256BE9">
            <w:pPr>
              <w:jc w:val="center"/>
              <w:rPr>
                <w:rStyle w:val="Hyperlink"/>
                <w:rFonts w:ascii="Arial" w:hAnsi="Arial" w:cs="Arial"/>
                <w:sz w:val="22"/>
                <w:szCs w:val="22"/>
              </w:rPr>
            </w:pPr>
            <w:hyperlink r:id="rId10" w:history="1">
              <w:r w:rsidR="00256BE9" w:rsidRPr="00256BE9">
                <w:rPr>
                  <w:rStyle w:val="Hyperlink"/>
                  <w:rFonts w:ascii="Arial" w:hAnsi="Arial" w:cs="Arial"/>
                  <w:sz w:val="22"/>
                  <w:szCs w:val="22"/>
                </w:rPr>
                <w:t>Maine statute</w:t>
              </w:r>
            </w:hyperlink>
          </w:p>
          <w:p w14:paraId="7FB1CFA1" w14:textId="42CE2E0E" w:rsidR="00256BE9" w:rsidRPr="00436C82" w:rsidRDefault="00D51FDF" w:rsidP="00256BE9">
            <w:pPr>
              <w:jc w:val="center"/>
              <w:rPr>
                <w:rFonts w:ascii="Arial" w:hAnsi="Arial" w:cs="Arial"/>
                <w:sz w:val="22"/>
                <w:szCs w:val="22"/>
                <w:u w:val="single"/>
              </w:rPr>
            </w:pPr>
            <w:hyperlink r:id="rId11" w:history="1">
              <w:r w:rsidR="00256BE9" w:rsidRPr="00256BE9">
                <w:rPr>
                  <w:rStyle w:val="Hyperlink"/>
                  <w:rFonts w:ascii="Arial" w:hAnsi="Arial" w:cs="Arial"/>
                  <w:sz w:val="22"/>
                  <w:szCs w:val="22"/>
                </w:rPr>
                <w:t xml:space="preserve">– </w:t>
              </w:r>
              <w:r w:rsidR="00256BE9">
                <w:rPr>
                  <w:rStyle w:val="Hyperlink"/>
                  <w:rFonts w:ascii="Arial" w:hAnsi="Arial" w:cs="Arial"/>
                  <w:sz w:val="22"/>
                  <w:szCs w:val="22"/>
                </w:rPr>
                <w:t>signed into l</w:t>
              </w:r>
              <w:r w:rsidR="00256BE9" w:rsidRPr="00256BE9">
                <w:rPr>
                  <w:rStyle w:val="Hyperlink"/>
                  <w:rFonts w:ascii="Arial" w:hAnsi="Arial" w:cs="Arial"/>
                  <w:sz w:val="22"/>
                  <w:szCs w:val="22"/>
                </w:rPr>
                <w:t>aw 6/23/2023</w:t>
              </w:r>
            </w:hyperlink>
          </w:p>
        </w:tc>
      </w:tr>
      <w:tr w:rsidR="00256BE9" w:rsidRPr="00973AFD" w14:paraId="2A093D61" w14:textId="63775D48" w:rsidTr="00256BE9">
        <w:tc>
          <w:tcPr>
            <w:tcW w:w="1698" w:type="dxa"/>
          </w:tcPr>
          <w:p w14:paraId="50D5BFF3" w14:textId="0CDF730C" w:rsidR="00256BE9" w:rsidRPr="00973AFD" w:rsidRDefault="00256BE9" w:rsidP="00256BE9">
            <w:pPr>
              <w:rPr>
                <w:rFonts w:ascii="Arial" w:hAnsi="Arial" w:cs="Arial"/>
                <w:sz w:val="22"/>
                <w:szCs w:val="22"/>
              </w:rPr>
            </w:pPr>
            <w:r w:rsidRPr="00973AFD">
              <w:rPr>
                <w:rFonts w:ascii="Arial" w:hAnsi="Arial" w:cs="Arial"/>
                <w:sz w:val="22"/>
                <w:szCs w:val="22"/>
              </w:rPr>
              <w:t>PT-</w:t>
            </w:r>
            <w:r>
              <w:rPr>
                <w:rFonts w:ascii="Arial" w:hAnsi="Arial" w:cs="Arial"/>
                <w:sz w:val="22"/>
                <w:szCs w:val="22"/>
              </w:rPr>
              <w:t>S</w:t>
            </w:r>
            <w:r w:rsidRPr="00973AFD">
              <w:rPr>
                <w:rFonts w:ascii="Arial" w:hAnsi="Arial" w:cs="Arial"/>
                <w:sz w:val="22"/>
                <w:szCs w:val="22"/>
              </w:rPr>
              <w:t>pecific Considerations</w:t>
            </w:r>
          </w:p>
        </w:tc>
        <w:tc>
          <w:tcPr>
            <w:tcW w:w="2506" w:type="dxa"/>
          </w:tcPr>
          <w:p w14:paraId="61B0EFE9" w14:textId="6CF6A841" w:rsidR="00256BE9" w:rsidRPr="00C45C35" w:rsidRDefault="00256BE9" w:rsidP="00256BE9">
            <w:pPr>
              <w:rPr>
                <w:rFonts w:ascii="Arial" w:hAnsi="Arial" w:cs="Arial"/>
                <w:sz w:val="22"/>
                <w:szCs w:val="22"/>
              </w:rPr>
            </w:pPr>
            <w:r w:rsidRPr="00C45C35">
              <w:rPr>
                <w:rFonts w:ascii="Arial" w:hAnsi="Arial" w:cs="Arial"/>
                <w:sz w:val="22"/>
                <w:szCs w:val="22"/>
              </w:rPr>
              <w:t xml:space="preserve">PPS1: </w:t>
            </w:r>
            <w:r w:rsidRPr="00C45C35">
              <w:rPr>
                <w:rFonts w:ascii="Arial" w:hAnsi="Arial" w:cs="Arial"/>
                <w:color w:val="000000"/>
                <w:sz w:val="22"/>
                <w:szCs w:val="22"/>
              </w:rPr>
              <w:t>Prior authorization shall not be required for the first 12 physical therapy (PT) visits with no duration of care limitation. The first authorization for PT care may only occur for visits after 12 visits. (based on FOTO data)</w:t>
            </w:r>
          </w:p>
          <w:p w14:paraId="33319D01" w14:textId="7AEC98DA" w:rsidR="00256BE9" w:rsidRPr="00C45C35" w:rsidRDefault="00256BE9" w:rsidP="00256BE9">
            <w:pPr>
              <w:rPr>
                <w:rFonts w:ascii="Arial" w:hAnsi="Arial" w:cs="Arial"/>
                <w:sz w:val="22"/>
                <w:szCs w:val="22"/>
              </w:rPr>
            </w:pPr>
          </w:p>
        </w:tc>
        <w:tc>
          <w:tcPr>
            <w:tcW w:w="2631" w:type="dxa"/>
          </w:tcPr>
          <w:p w14:paraId="1160ED08" w14:textId="77777777" w:rsidR="00256BE9" w:rsidRPr="00973AFD" w:rsidRDefault="00256BE9" w:rsidP="00256BE9">
            <w:pPr>
              <w:rPr>
                <w:rStyle w:val="markedcontent"/>
                <w:rFonts w:ascii="Arial" w:hAnsi="Arial" w:cs="Arial"/>
                <w:sz w:val="22"/>
                <w:szCs w:val="22"/>
                <w:u w:val="single"/>
              </w:rPr>
            </w:pPr>
          </w:p>
        </w:tc>
        <w:tc>
          <w:tcPr>
            <w:tcW w:w="2430" w:type="dxa"/>
          </w:tcPr>
          <w:p w14:paraId="2B7E855C" w14:textId="2D223231" w:rsidR="00256BE9" w:rsidRPr="00F550F5" w:rsidRDefault="00256BE9" w:rsidP="00256BE9">
            <w:pPr>
              <w:rPr>
                <w:rFonts w:ascii="Arial" w:hAnsi="Arial" w:cs="Arial"/>
                <w:sz w:val="22"/>
                <w:szCs w:val="22"/>
              </w:rPr>
            </w:pPr>
            <w:r w:rsidRPr="00F550F5">
              <w:rPr>
                <w:rFonts w:ascii="Arial" w:hAnsi="Arial" w:cs="Arial"/>
                <w:sz w:val="22"/>
                <w:szCs w:val="22"/>
              </w:rPr>
              <w:t>10123.75. (a)</w:t>
            </w:r>
            <w:r>
              <w:rPr>
                <w:rFonts w:ascii="Arial" w:hAnsi="Arial" w:cs="Arial"/>
                <w:sz w:val="22"/>
                <w:szCs w:val="22"/>
              </w:rPr>
              <w:t>.</w:t>
            </w:r>
            <w:r w:rsidRPr="00F550F5">
              <w:rPr>
                <w:rFonts w:ascii="Arial" w:hAnsi="Arial" w:cs="Arial"/>
                <w:sz w:val="22"/>
                <w:szCs w:val="22"/>
              </w:rPr>
              <w:t xml:space="preserve"> A health insurance policy issued, amended, or renewed on or after January 1, 2025, that provides coverage for physical therapy shall not, for a new episode of care, require prior authorization for the initial 12 treatment visits for physical therapy.</w:t>
            </w:r>
          </w:p>
          <w:p w14:paraId="0D0E3475" w14:textId="13EC4EE8" w:rsidR="00256BE9" w:rsidRDefault="00256BE9" w:rsidP="00256BE9">
            <w:pPr>
              <w:rPr>
                <w:rFonts w:ascii="Arial" w:hAnsi="Arial" w:cs="Arial"/>
                <w:sz w:val="22"/>
                <w:szCs w:val="22"/>
              </w:rPr>
            </w:pPr>
            <w:r w:rsidRPr="00F550F5">
              <w:rPr>
                <w:rFonts w:ascii="Arial" w:hAnsi="Arial" w:cs="Arial"/>
                <w:sz w:val="22"/>
                <w:szCs w:val="22"/>
              </w:rPr>
              <w:t xml:space="preserve">(b) For purposes of this section, “new episode of care” means treatment for a new or recurring condition for which the insured has not been </w:t>
            </w:r>
            <w:r w:rsidRPr="00F550F5">
              <w:rPr>
                <w:rFonts w:ascii="Arial" w:hAnsi="Arial" w:cs="Arial"/>
                <w:sz w:val="22"/>
                <w:szCs w:val="22"/>
              </w:rPr>
              <w:lastRenderedPageBreak/>
              <w:t>treated by the provider within the previous 90 days and is not currently undergoing active treatment.</w:t>
            </w:r>
          </w:p>
          <w:p w14:paraId="6B9BCA3C" w14:textId="77777777" w:rsidR="00256BE9" w:rsidRDefault="00256BE9" w:rsidP="00256BE9">
            <w:pPr>
              <w:rPr>
                <w:rFonts w:ascii="Arial" w:hAnsi="Arial" w:cs="Arial"/>
                <w:sz w:val="22"/>
                <w:szCs w:val="22"/>
              </w:rPr>
            </w:pPr>
          </w:p>
          <w:p w14:paraId="0CE9E403" w14:textId="74FF2512" w:rsidR="00256BE9" w:rsidRPr="00D23ECD" w:rsidRDefault="00256BE9" w:rsidP="00256BE9">
            <w:pPr>
              <w:rPr>
                <w:rFonts w:ascii="Arial" w:hAnsi="Arial" w:cs="Arial"/>
                <w:sz w:val="22"/>
                <w:szCs w:val="22"/>
              </w:rPr>
            </w:pPr>
            <w:r>
              <w:rPr>
                <w:rFonts w:ascii="Arial" w:hAnsi="Arial" w:cs="Arial"/>
                <w:sz w:val="22"/>
                <w:szCs w:val="22"/>
              </w:rPr>
              <w:t>Mirrored section would be added to Health and Safety Code (add Section 1367.26)</w:t>
            </w:r>
          </w:p>
        </w:tc>
        <w:tc>
          <w:tcPr>
            <w:tcW w:w="2430" w:type="dxa"/>
          </w:tcPr>
          <w:p w14:paraId="476E7EE6" w14:textId="6FCFAB42" w:rsidR="00256BE9" w:rsidRPr="00973AFD" w:rsidRDefault="00256BE9" w:rsidP="00256BE9">
            <w:pPr>
              <w:rPr>
                <w:rFonts w:ascii="Arial" w:hAnsi="Arial" w:cs="Arial"/>
                <w:sz w:val="22"/>
                <w:szCs w:val="22"/>
              </w:rPr>
            </w:pPr>
            <w:r w:rsidRPr="00D23ECD">
              <w:rPr>
                <w:rFonts w:ascii="Arial" w:hAnsi="Arial" w:cs="Arial"/>
                <w:sz w:val="22"/>
                <w:szCs w:val="22"/>
              </w:rPr>
              <w:lastRenderedPageBreak/>
              <w:t>Initial twelve treatment sessions of new episodes of care shall not require prior authorization by a managed care organization for Chiropractic Services, Physical Therapy, Occupation Therapy and Speech Language Pathology.</w:t>
            </w:r>
          </w:p>
        </w:tc>
        <w:tc>
          <w:tcPr>
            <w:tcW w:w="2610" w:type="dxa"/>
          </w:tcPr>
          <w:p w14:paraId="67F6AED3" w14:textId="77777777" w:rsidR="00256BE9" w:rsidRPr="00973AFD" w:rsidRDefault="00256BE9" w:rsidP="00256BE9">
            <w:pPr>
              <w:rPr>
                <w:rFonts w:ascii="Arial" w:hAnsi="Arial" w:cs="Arial"/>
                <w:sz w:val="22"/>
                <w:szCs w:val="22"/>
              </w:rPr>
            </w:pPr>
          </w:p>
        </w:tc>
        <w:tc>
          <w:tcPr>
            <w:tcW w:w="2610" w:type="dxa"/>
          </w:tcPr>
          <w:p w14:paraId="50716406" w14:textId="77777777" w:rsidR="00256BE9" w:rsidRPr="00256BE9" w:rsidRDefault="00256BE9" w:rsidP="00256BE9">
            <w:pPr>
              <w:rPr>
                <w:rFonts w:ascii="Arial" w:hAnsi="Arial" w:cs="Arial"/>
                <w:sz w:val="22"/>
                <w:szCs w:val="22"/>
              </w:rPr>
            </w:pPr>
            <w:r w:rsidRPr="006272D7">
              <w:rPr>
                <w:rFonts w:ascii="Arial" w:hAnsi="Arial" w:cs="Arial"/>
                <w:sz w:val="22"/>
                <w:szCs w:val="22"/>
              </w:rPr>
              <w:t xml:space="preserve">24-A MRSA </w:t>
            </w:r>
            <w:r w:rsidRPr="00256BE9">
              <w:rPr>
                <w:rFonts w:ascii="Arial" w:hAnsi="Arial" w:cs="Arial"/>
                <w:sz w:val="22"/>
                <w:szCs w:val="22"/>
              </w:rPr>
              <w:t>§</w:t>
            </w:r>
            <w:r w:rsidRPr="006272D7">
              <w:rPr>
                <w:rFonts w:ascii="Arial" w:hAnsi="Arial" w:cs="Arial"/>
                <w:sz w:val="22"/>
                <w:szCs w:val="22"/>
              </w:rPr>
              <w:t>4304-A, sec. 1</w:t>
            </w:r>
            <w:r>
              <w:rPr>
                <w:rFonts w:ascii="Arial" w:hAnsi="Arial" w:cs="Arial"/>
                <w:sz w:val="22"/>
                <w:szCs w:val="22"/>
              </w:rPr>
              <w:t xml:space="preserve">. </w:t>
            </w:r>
            <w:r w:rsidRPr="006272D7">
              <w:rPr>
                <w:rFonts w:ascii="Arial" w:hAnsi="Arial" w:cs="Arial"/>
                <w:sz w:val="22"/>
                <w:szCs w:val="22"/>
              </w:rPr>
              <w:t>prohibition of prior authorizations prior to 12 visits</w:t>
            </w:r>
            <w:r>
              <w:rPr>
                <w:rFonts w:ascii="Arial" w:hAnsi="Arial" w:cs="Arial"/>
                <w:sz w:val="22"/>
                <w:szCs w:val="22"/>
              </w:rPr>
              <w:t xml:space="preserve"> for new episodes of care for occupational or physical therapy. New episode of care means </w:t>
            </w:r>
            <w:r w:rsidRPr="00256BE9">
              <w:rPr>
                <w:rFonts w:ascii="Arial" w:hAnsi="Arial" w:cs="Arial"/>
                <w:sz w:val="22"/>
                <w:szCs w:val="22"/>
              </w:rPr>
              <w:t>treatment for a recurring</w:t>
            </w:r>
          </w:p>
          <w:p w14:paraId="29172CBF" w14:textId="77777777" w:rsidR="00256BE9" w:rsidRDefault="00256BE9" w:rsidP="00256BE9">
            <w:pPr>
              <w:rPr>
                <w:rFonts w:ascii="Arial" w:hAnsi="Arial" w:cs="Arial"/>
                <w:sz w:val="22"/>
                <w:szCs w:val="22"/>
              </w:rPr>
            </w:pPr>
            <w:r w:rsidRPr="00256BE9">
              <w:rPr>
                <w:rFonts w:ascii="Arial" w:hAnsi="Arial" w:cs="Arial"/>
                <w:sz w:val="22"/>
                <w:szCs w:val="22"/>
              </w:rPr>
              <w:t>condition for which an enrollee has not been treated within the previous 90 days</w:t>
            </w:r>
            <w:r>
              <w:rPr>
                <w:rFonts w:ascii="Arial" w:hAnsi="Arial" w:cs="Arial"/>
                <w:sz w:val="22"/>
                <w:szCs w:val="22"/>
              </w:rPr>
              <w:t>.</w:t>
            </w:r>
          </w:p>
          <w:p w14:paraId="791C6ACF" w14:textId="77777777" w:rsidR="00256BE9" w:rsidRDefault="00256BE9" w:rsidP="00256BE9">
            <w:pPr>
              <w:rPr>
                <w:rFonts w:ascii="Arial" w:hAnsi="Arial" w:cs="Arial"/>
                <w:sz w:val="22"/>
                <w:szCs w:val="22"/>
              </w:rPr>
            </w:pPr>
          </w:p>
          <w:p w14:paraId="75426E7E" w14:textId="523A75B8" w:rsidR="00256BE9" w:rsidRPr="00973AFD" w:rsidRDefault="00256BE9" w:rsidP="00256BE9">
            <w:pPr>
              <w:rPr>
                <w:rFonts w:ascii="Arial" w:hAnsi="Arial" w:cs="Arial"/>
                <w:sz w:val="22"/>
                <w:szCs w:val="22"/>
              </w:rPr>
            </w:pPr>
            <w:r>
              <w:rPr>
                <w:rFonts w:ascii="Arial" w:hAnsi="Arial" w:cs="Arial"/>
                <w:sz w:val="22"/>
                <w:szCs w:val="22"/>
              </w:rPr>
              <w:t xml:space="preserve"> </w:t>
            </w:r>
          </w:p>
        </w:tc>
      </w:tr>
      <w:tr w:rsidR="00256BE9" w:rsidRPr="00973AFD" w14:paraId="60053722" w14:textId="1095C1BA" w:rsidTr="00256BE9">
        <w:tc>
          <w:tcPr>
            <w:tcW w:w="1698" w:type="dxa"/>
          </w:tcPr>
          <w:p w14:paraId="61209E1E" w14:textId="77777777" w:rsidR="00256BE9" w:rsidRPr="00973AFD" w:rsidRDefault="00256BE9" w:rsidP="00256BE9">
            <w:pPr>
              <w:rPr>
                <w:rFonts w:ascii="Arial" w:hAnsi="Arial" w:cs="Arial"/>
                <w:sz w:val="22"/>
                <w:szCs w:val="22"/>
              </w:rPr>
            </w:pPr>
          </w:p>
        </w:tc>
        <w:tc>
          <w:tcPr>
            <w:tcW w:w="2506" w:type="dxa"/>
          </w:tcPr>
          <w:p w14:paraId="3B5EC987" w14:textId="62839A71" w:rsidR="00256BE9" w:rsidRPr="00C45C35" w:rsidRDefault="00256BE9" w:rsidP="00256BE9">
            <w:pPr>
              <w:rPr>
                <w:rFonts w:ascii="Arial" w:hAnsi="Arial" w:cs="Arial"/>
                <w:sz w:val="22"/>
                <w:szCs w:val="22"/>
              </w:rPr>
            </w:pPr>
            <w:r w:rsidRPr="00C45C35">
              <w:rPr>
                <w:rFonts w:ascii="Arial" w:hAnsi="Arial" w:cs="Arial"/>
                <w:color w:val="000000"/>
                <w:sz w:val="22"/>
                <w:szCs w:val="22"/>
              </w:rPr>
              <w:t>PPS2: Prior authorization shall not be permitted for any PT care provided to chronic pain patients for the first 90 days post-diagnosis, in order to provide the necessary non-pharmacologic management of pain through physical therapy. (CO)</w:t>
            </w:r>
          </w:p>
        </w:tc>
        <w:tc>
          <w:tcPr>
            <w:tcW w:w="2631" w:type="dxa"/>
          </w:tcPr>
          <w:p w14:paraId="3E6617B6" w14:textId="5ECB2742" w:rsidR="00256BE9" w:rsidRPr="00973AFD" w:rsidRDefault="00256BE9" w:rsidP="00256BE9">
            <w:pPr>
              <w:rPr>
                <w:rStyle w:val="markedcontent"/>
                <w:rFonts w:ascii="Arial" w:hAnsi="Arial" w:cs="Arial"/>
                <w:sz w:val="22"/>
                <w:szCs w:val="22"/>
                <w:u w:val="single"/>
              </w:rPr>
            </w:pPr>
          </w:p>
        </w:tc>
        <w:tc>
          <w:tcPr>
            <w:tcW w:w="2430" w:type="dxa"/>
          </w:tcPr>
          <w:p w14:paraId="50D2CF58" w14:textId="77777777" w:rsidR="00256BE9" w:rsidRPr="00973AFD" w:rsidRDefault="00256BE9" w:rsidP="00256BE9">
            <w:pPr>
              <w:rPr>
                <w:rFonts w:ascii="Arial" w:hAnsi="Arial" w:cs="Arial"/>
                <w:sz w:val="22"/>
                <w:szCs w:val="22"/>
              </w:rPr>
            </w:pPr>
          </w:p>
        </w:tc>
        <w:tc>
          <w:tcPr>
            <w:tcW w:w="2430" w:type="dxa"/>
          </w:tcPr>
          <w:p w14:paraId="2CA908E6" w14:textId="03DD0343" w:rsidR="00256BE9" w:rsidRPr="00973AFD" w:rsidRDefault="00256BE9" w:rsidP="00256BE9">
            <w:pPr>
              <w:rPr>
                <w:rFonts w:ascii="Arial" w:hAnsi="Arial" w:cs="Arial"/>
                <w:sz w:val="22"/>
                <w:szCs w:val="22"/>
              </w:rPr>
            </w:pPr>
          </w:p>
        </w:tc>
        <w:tc>
          <w:tcPr>
            <w:tcW w:w="2610" w:type="dxa"/>
          </w:tcPr>
          <w:p w14:paraId="2A26FC44" w14:textId="77777777" w:rsidR="00256BE9" w:rsidRPr="00973AFD" w:rsidRDefault="00256BE9" w:rsidP="00256BE9">
            <w:pPr>
              <w:rPr>
                <w:rFonts w:ascii="Arial" w:hAnsi="Arial" w:cs="Arial"/>
                <w:sz w:val="22"/>
                <w:szCs w:val="22"/>
              </w:rPr>
            </w:pPr>
          </w:p>
        </w:tc>
        <w:tc>
          <w:tcPr>
            <w:tcW w:w="2610" w:type="dxa"/>
          </w:tcPr>
          <w:p w14:paraId="5C35AA0D" w14:textId="77777777" w:rsidR="00256BE9" w:rsidRPr="00973AFD" w:rsidRDefault="00256BE9" w:rsidP="00256BE9">
            <w:pPr>
              <w:rPr>
                <w:rFonts w:ascii="Arial" w:hAnsi="Arial" w:cs="Arial"/>
                <w:sz w:val="22"/>
                <w:szCs w:val="22"/>
              </w:rPr>
            </w:pPr>
          </w:p>
        </w:tc>
      </w:tr>
      <w:tr w:rsidR="00256BE9" w:rsidRPr="00973AFD" w14:paraId="7B96906E" w14:textId="11C99861" w:rsidTr="00256BE9">
        <w:tc>
          <w:tcPr>
            <w:tcW w:w="1698" w:type="dxa"/>
          </w:tcPr>
          <w:p w14:paraId="5F58DCB4" w14:textId="1928CCAA" w:rsidR="00256BE9" w:rsidRPr="00973AFD" w:rsidRDefault="00256BE9" w:rsidP="00256BE9">
            <w:pPr>
              <w:rPr>
                <w:rFonts w:ascii="Arial" w:hAnsi="Arial" w:cs="Arial"/>
                <w:sz w:val="22"/>
                <w:szCs w:val="22"/>
              </w:rPr>
            </w:pPr>
            <w:r w:rsidRPr="00973AFD">
              <w:rPr>
                <w:rFonts w:ascii="Arial" w:hAnsi="Arial" w:cs="Arial"/>
                <w:sz w:val="22"/>
                <w:szCs w:val="22"/>
              </w:rPr>
              <w:t>Clinical Validity</w:t>
            </w:r>
          </w:p>
        </w:tc>
        <w:tc>
          <w:tcPr>
            <w:tcW w:w="2506" w:type="dxa"/>
          </w:tcPr>
          <w:p w14:paraId="01D2EF95" w14:textId="3E48008E" w:rsidR="00256BE9" w:rsidRPr="00C45C35" w:rsidRDefault="00256BE9" w:rsidP="00256BE9">
            <w:pPr>
              <w:rPr>
                <w:rFonts w:ascii="Arial" w:hAnsi="Arial" w:cs="Arial"/>
                <w:sz w:val="22"/>
                <w:szCs w:val="22"/>
              </w:rPr>
            </w:pPr>
            <w:r w:rsidRPr="00C45C35">
              <w:rPr>
                <w:rFonts w:ascii="Arial" w:hAnsi="Arial" w:cs="Arial"/>
                <w:sz w:val="22"/>
                <w:szCs w:val="22"/>
              </w:rPr>
              <w:t>PPS8: U</w:t>
            </w:r>
            <w:r w:rsidRPr="00C45C35">
              <w:rPr>
                <w:rFonts w:ascii="Arial" w:hAnsi="Arial" w:cs="Arial"/>
                <w:color w:val="000000"/>
                <w:sz w:val="22"/>
                <w:szCs w:val="22"/>
              </w:rPr>
              <w:t>R/UM Organizations shall not use claims data as “evidence of outcomes” to develop their algorithms and /approval policy.</w:t>
            </w:r>
          </w:p>
          <w:p w14:paraId="6F17DE66" w14:textId="24355C4D" w:rsidR="00256BE9" w:rsidRPr="00C45C35" w:rsidRDefault="00256BE9" w:rsidP="00256BE9">
            <w:pPr>
              <w:rPr>
                <w:rFonts w:ascii="Arial" w:hAnsi="Arial" w:cs="Arial"/>
                <w:sz w:val="22"/>
                <w:szCs w:val="22"/>
              </w:rPr>
            </w:pPr>
          </w:p>
        </w:tc>
        <w:tc>
          <w:tcPr>
            <w:tcW w:w="2631" w:type="dxa"/>
          </w:tcPr>
          <w:p w14:paraId="00B6A540" w14:textId="77777777" w:rsidR="00256BE9" w:rsidRDefault="00256BE9" w:rsidP="00256BE9">
            <w:pPr>
              <w:rPr>
                <w:rStyle w:val="markedcontent"/>
                <w:rFonts w:ascii="Arial" w:hAnsi="Arial" w:cs="Arial"/>
                <w:sz w:val="22"/>
                <w:szCs w:val="22"/>
              </w:rPr>
            </w:pPr>
            <w:r w:rsidRPr="00973AFD">
              <w:rPr>
                <w:rStyle w:val="markedcontent"/>
                <w:rFonts w:ascii="Arial" w:hAnsi="Arial" w:cs="Arial"/>
                <w:sz w:val="22"/>
                <w:szCs w:val="22"/>
                <w:u w:val="single"/>
              </w:rPr>
              <w:t>Principle #1</w:t>
            </w:r>
            <w:r w:rsidRPr="00973AFD">
              <w:rPr>
                <w:rStyle w:val="markedcontent"/>
                <w:rFonts w:ascii="Arial" w:hAnsi="Arial" w:cs="Arial"/>
                <w:sz w:val="22"/>
                <w:szCs w:val="22"/>
              </w:rPr>
              <w:t xml:space="preserve">: </w:t>
            </w:r>
          </w:p>
          <w:p w14:paraId="435E4D0C" w14:textId="617C82E6"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Any utilization management program applied to a service, device or drug should be based on accurate and up-to-date clinical criteria and never cost </w:t>
            </w:r>
            <w:r w:rsidRPr="00973AFD">
              <w:rPr>
                <w:rStyle w:val="markedcontent"/>
                <w:rFonts w:ascii="Arial" w:hAnsi="Arial" w:cs="Arial"/>
                <w:sz w:val="22"/>
                <w:szCs w:val="22"/>
              </w:rPr>
              <w:lastRenderedPageBreak/>
              <w:t xml:space="preserve">alone. The referenced clinical information should be readily available to the prescribing/ordering provider and the public. </w:t>
            </w:r>
          </w:p>
          <w:p w14:paraId="01BBD64F" w14:textId="4816D339" w:rsidR="00256BE9" w:rsidRPr="00973AFD" w:rsidRDefault="00256BE9" w:rsidP="00256BE9">
            <w:pPr>
              <w:rPr>
                <w:rFonts w:ascii="Arial" w:hAnsi="Arial" w:cs="Arial"/>
                <w:sz w:val="22"/>
                <w:szCs w:val="22"/>
              </w:rPr>
            </w:pPr>
          </w:p>
        </w:tc>
        <w:tc>
          <w:tcPr>
            <w:tcW w:w="2430" w:type="dxa"/>
          </w:tcPr>
          <w:p w14:paraId="5D56BFF4" w14:textId="77777777" w:rsidR="00256BE9" w:rsidRPr="00D23ECD" w:rsidRDefault="00256BE9" w:rsidP="00256BE9">
            <w:pPr>
              <w:rPr>
                <w:rFonts w:ascii="Arial" w:hAnsi="Arial" w:cs="Arial"/>
                <w:sz w:val="22"/>
                <w:szCs w:val="22"/>
              </w:rPr>
            </w:pPr>
          </w:p>
        </w:tc>
        <w:tc>
          <w:tcPr>
            <w:tcW w:w="2430" w:type="dxa"/>
          </w:tcPr>
          <w:p w14:paraId="380FDEEA" w14:textId="4269510A" w:rsidR="00256BE9" w:rsidRDefault="00256BE9" w:rsidP="00256BE9">
            <w:pPr>
              <w:rPr>
                <w:rFonts w:ascii="Arial" w:hAnsi="Arial" w:cs="Arial"/>
                <w:sz w:val="22"/>
                <w:szCs w:val="22"/>
              </w:rPr>
            </w:pPr>
            <w:r w:rsidRPr="00D23ECD">
              <w:rPr>
                <w:rFonts w:ascii="Arial" w:hAnsi="Arial" w:cs="Arial"/>
                <w:sz w:val="22"/>
                <w:szCs w:val="22"/>
              </w:rPr>
              <w:t>a managed care organization that implements an automated prior authorization system shall use evidence-based clinical guidelines</w:t>
            </w:r>
          </w:p>
          <w:p w14:paraId="7448368A" w14:textId="77777777" w:rsidR="00256BE9" w:rsidRDefault="00256BE9" w:rsidP="00256BE9">
            <w:pPr>
              <w:rPr>
                <w:rFonts w:ascii="Arial" w:hAnsi="Arial" w:cs="Arial"/>
                <w:sz w:val="22"/>
                <w:szCs w:val="22"/>
              </w:rPr>
            </w:pPr>
          </w:p>
          <w:p w14:paraId="58C0BEC5" w14:textId="77777777" w:rsidR="00256BE9" w:rsidRDefault="00256BE9" w:rsidP="00256BE9">
            <w:pPr>
              <w:rPr>
                <w:rFonts w:ascii="Arial" w:hAnsi="Arial" w:cs="Arial"/>
                <w:sz w:val="22"/>
                <w:szCs w:val="22"/>
              </w:rPr>
            </w:pPr>
          </w:p>
          <w:p w14:paraId="483612CE" w14:textId="77777777" w:rsidR="00256BE9" w:rsidRDefault="00256BE9" w:rsidP="00256BE9">
            <w:pPr>
              <w:rPr>
                <w:rFonts w:ascii="Arial" w:hAnsi="Arial" w:cs="Arial"/>
                <w:sz w:val="22"/>
                <w:szCs w:val="22"/>
              </w:rPr>
            </w:pPr>
            <w:r>
              <w:rPr>
                <w:rFonts w:ascii="Arial" w:hAnsi="Arial" w:cs="Arial"/>
                <w:sz w:val="22"/>
                <w:szCs w:val="22"/>
              </w:rPr>
              <w:t>…</w:t>
            </w:r>
          </w:p>
          <w:p w14:paraId="02E8BA98" w14:textId="77777777" w:rsidR="00256BE9" w:rsidRDefault="00256BE9" w:rsidP="00256BE9">
            <w:pPr>
              <w:rPr>
                <w:rFonts w:ascii="Arial" w:hAnsi="Arial" w:cs="Arial"/>
                <w:sz w:val="22"/>
                <w:szCs w:val="22"/>
              </w:rPr>
            </w:pPr>
          </w:p>
          <w:p w14:paraId="1983ADBD" w14:textId="77777777" w:rsidR="00256BE9" w:rsidRDefault="00256BE9" w:rsidP="00256BE9">
            <w:pPr>
              <w:rPr>
                <w:rFonts w:ascii="Arial" w:hAnsi="Arial" w:cs="Arial"/>
                <w:sz w:val="22"/>
                <w:szCs w:val="22"/>
              </w:rPr>
            </w:pPr>
          </w:p>
          <w:p w14:paraId="660104F5" w14:textId="77777777" w:rsidR="00256BE9" w:rsidRDefault="00256BE9" w:rsidP="00256BE9">
            <w:pPr>
              <w:rPr>
                <w:rFonts w:ascii="Arial" w:hAnsi="Arial" w:cs="Arial"/>
                <w:sz w:val="22"/>
                <w:szCs w:val="22"/>
              </w:rPr>
            </w:pPr>
          </w:p>
          <w:p w14:paraId="2CC147F3" w14:textId="77777777" w:rsidR="00256BE9" w:rsidRDefault="00256BE9" w:rsidP="00256BE9">
            <w:pPr>
              <w:rPr>
                <w:rFonts w:ascii="Arial" w:hAnsi="Arial" w:cs="Arial"/>
                <w:sz w:val="22"/>
                <w:szCs w:val="22"/>
              </w:rPr>
            </w:pPr>
          </w:p>
          <w:p w14:paraId="17C26006" w14:textId="77777777" w:rsidR="00256BE9" w:rsidRDefault="00256BE9" w:rsidP="00256BE9">
            <w:pPr>
              <w:rPr>
                <w:rFonts w:ascii="Arial" w:hAnsi="Arial" w:cs="Arial"/>
                <w:sz w:val="22"/>
                <w:szCs w:val="22"/>
              </w:rPr>
            </w:pPr>
          </w:p>
          <w:p w14:paraId="3FDC0A94" w14:textId="77777777" w:rsidR="00256BE9" w:rsidRDefault="00256BE9" w:rsidP="00256BE9">
            <w:pPr>
              <w:rPr>
                <w:rFonts w:ascii="Arial" w:hAnsi="Arial" w:cs="Arial"/>
                <w:sz w:val="22"/>
                <w:szCs w:val="22"/>
              </w:rPr>
            </w:pPr>
          </w:p>
          <w:p w14:paraId="36107C5D" w14:textId="77777777" w:rsidR="00256BE9" w:rsidRDefault="00256BE9" w:rsidP="00256BE9">
            <w:pPr>
              <w:rPr>
                <w:rFonts w:ascii="Arial" w:hAnsi="Arial" w:cs="Arial"/>
                <w:sz w:val="22"/>
                <w:szCs w:val="22"/>
              </w:rPr>
            </w:pPr>
          </w:p>
          <w:p w14:paraId="0D02D187" w14:textId="77777777" w:rsidR="00256BE9" w:rsidRDefault="00256BE9" w:rsidP="00256BE9">
            <w:pPr>
              <w:rPr>
                <w:rFonts w:ascii="Arial" w:hAnsi="Arial" w:cs="Arial"/>
                <w:sz w:val="22"/>
                <w:szCs w:val="22"/>
              </w:rPr>
            </w:pPr>
          </w:p>
          <w:p w14:paraId="16C86E24" w14:textId="77777777" w:rsidR="00256BE9" w:rsidRDefault="00256BE9" w:rsidP="00256BE9">
            <w:pPr>
              <w:rPr>
                <w:rFonts w:ascii="Arial" w:hAnsi="Arial" w:cs="Arial"/>
                <w:sz w:val="22"/>
                <w:szCs w:val="22"/>
              </w:rPr>
            </w:pPr>
          </w:p>
          <w:p w14:paraId="12E400B4" w14:textId="77777777" w:rsidR="00256BE9" w:rsidRDefault="00256BE9" w:rsidP="00256BE9">
            <w:pPr>
              <w:rPr>
                <w:rFonts w:ascii="Arial" w:hAnsi="Arial" w:cs="Arial"/>
                <w:sz w:val="22"/>
                <w:szCs w:val="22"/>
              </w:rPr>
            </w:pPr>
          </w:p>
          <w:p w14:paraId="0EF3D6CD" w14:textId="77777777" w:rsidR="00256BE9" w:rsidRDefault="00256BE9" w:rsidP="00256BE9">
            <w:pPr>
              <w:rPr>
                <w:rFonts w:ascii="Arial" w:hAnsi="Arial" w:cs="Arial"/>
                <w:sz w:val="22"/>
                <w:szCs w:val="22"/>
              </w:rPr>
            </w:pPr>
          </w:p>
          <w:p w14:paraId="323F84FA" w14:textId="77777777" w:rsidR="00256BE9" w:rsidRDefault="00256BE9" w:rsidP="00256BE9">
            <w:pPr>
              <w:rPr>
                <w:rFonts w:ascii="Arial" w:hAnsi="Arial" w:cs="Arial"/>
                <w:sz w:val="22"/>
                <w:szCs w:val="22"/>
              </w:rPr>
            </w:pPr>
          </w:p>
          <w:p w14:paraId="1750D1FB" w14:textId="77777777" w:rsidR="00256BE9" w:rsidRDefault="00256BE9" w:rsidP="00256BE9">
            <w:pPr>
              <w:rPr>
                <w:rFonts w:ascii="Arial" w:hAnsi="Arial" w:cs="Arial"/>
                <w:sz w:val="22"/>
                <w:szCs w:val="22"/>
              </w:rPr>
            </w:pPr>
          </w:p>
          <w:p w14:paraId="52BE42B6" w14:textId="433D0760" w:rsidR="00256BE9" w:rsidRPr="00973AFD" w:rsidRDefault="00256BE9" w:rsidP="00256BE9">
            <w:pPr>
              <w:rPr>
                <w:rFonts w:ascii="Arial" w:hAnsi="Arial" w:cs="Arial"/>
                <w:sz w:val="22"/>
                <w:szCs w:val="22"/>
              </w:rPr>
            </w:pPr>
            <w:r w:rsidRPr="00D23ECD">
              <w:rPr>
                <w:rFonts w:ascii="Arial" w:hAnsi="Arial" w:cs="Arial"/>
                <w:sz w:val="22"/>
                <w:szCs w:val="22"/>
              </w:rPr>
              <w:t xml:space="preserve">decision to deny or modify requests for authorization </w:t>
            </w:r>
            <w:r>
              <w:rPr>
                <w:rFonts w:ascii="Arial" w:hAnsi="Arial" w:cs="Arial"/>
                <w:sz w:val="22"/>
                <w:szCs w:val="22"/>
              </w:rPr>
              <w:t xml:space="preserve">(shall be) </w:t>
            </w:r>
            <w:r w:rsidRPr="00D23ECD">
              <w:rPr>
                <w:rFonts w:ascii="Arial" w:hAnsi="Arial" w:cs="Arial"/>
                <w:sz w:val="22"/>
                <w:szCs w:val="22"/>
              </w:rPr>
              <w:t>based on medical necessity, not just to ratify an automated response that would result in the denial or modification of the authorization request.</w:t>
            </w:r>
          </w:p>
        </w:tc>
        <w:tc>
          <w:tcPr>
            <w:tcW w:w="2610" w:type="dxa"/>
          </w:tcPr>
          <w:p w14:paraId="3DEEA367"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lastRenderedPageBreak/>
              <w:t xml:space="preserve">33-46-4 (6) 'Clinical criteria' means the written policies, decisions, rules, medical protocols, or guidelines used by a private review agent or utilization review entity </w:t>
            </w:r>
            <w:r w:rsidRPr="00436C82">
              <w:rPr>
                <w:rFonts w:ascii="Arial" w:hAnsi="Arial" w:cs="Arial"/>
                <w:sz w:val="22"/>
                <w:szCs w:val="22"/>
              </w:rPr>
              <w:lastRenderedPageBreak/>
              <w:t xml:space="preserve">to determine medical necessity. </w:t>
            </w:r>
          </w:p>
          <w:p w14:paraId="06FF6DC1" w14:textId="77777777" w:rsidR="00256BE9" w:rsidRPr="00195633" w:rsidRDefault="00256BE9" w:rsidP="00256BE9">
            <w:pPr>
              <w:autoSpaceDE w:val="0"/>
              <w:autoSpaceDN w:val="0"/>
              <w:adjustRightInd w:val="0"/>
              <w:rPr>
                <w:rFonts w:ascii="Arial" w:hAnsi="Arial" w:cs="Arial"/>
                <w:i/>
                <w:sz w:val="22"/>
                <w:szCs w:val="22"/>
              </w:rPr>
            </w:pPr>
            <w:r w:rsidRPr="00195633">
              <w:rPr>
                <w:rFonts w:ascii="Arial" w:hAnsi="Arial" w:cs="Arial"/>
                <w:i/>
                <w:sz w:val="22"/>
                <w:szCs w:val="22"/>
              </w:rPr>
              <w:t>And also</w:t>
            </w:r>
          </w:p>
          <w:p w14:paraId="10223598"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33-46-4 (15) 'Medical necessity' or 'medically necessary' means healthcare services that a prudent physician or other healthcare provider would provide to a patient for the purpose of preventing, diagnosing, or treating an illness, injury, or disease or its symptoms in a manner that is:</w:t>
            </w:r>
          </w:p>
          <w:p w14:paraId="0B6ECFB4"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(A) In accordance with generally accepted standards of medical or other healthcare practice;</w:t>
            </w:r>
          </w:p>
          <w:p w14:paraId="3522EACF" w14:textId="49DD415D" w:rsidR="00256BE9"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(B) Clinically appropriate in terms of type, frequency, extent, site, and duration;</w:t>
            </w:r>
          </w:p>
          <w:p w14:paraId="032ED490" w14:textId="4DCD84CB" w:rsidR="00256BE9"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(C) Not primarily for the economic benefit of the health insurer or for the convenience of the patient, treating physician, or other healthcare provider; and</w:t>
            </w:r>
          </w:p>
          <w:p w14:paraId="41177604" w14:textId="77BC0593" w:rsidR="00256BE9" w:rsidRPr="00973AFD" w:rsidRDefault="00256BE9" w:rsidP="00256BE9">
            <w:pPr>
              <w:rPr>
                <w:rFonts w:ascii="Arial" w:hAnsi="Arial" w:cs="Arial"/>
                <w:sz w:val="22"/>
                <w:szCs w:val="22"/>
              </w:rPr>
            </w:pPr>
            <w:r w:rsidRPr="00436C82">
              <w:rPr>
                <w:rFonts w:ascii="Arial" w:hAnsi="Arial" w:cs="Arial"/>
                <w:sz w:val="22"/>
                <w:szCs w:val="22"/>
              </w:rPr>
              <w:lastRenderedPageBreak/>
              <w:t>(D) Not primarily custodial care, unless custodial care is a covered service or benefit under the covered person's healthcare plan.</w:t>
            </w:r>
          </w:p>
        </w:tc>
        <w:tc>
          <w:tcPr>
            <w:tcW w:w="2610" w:type="dxa"/>
          </w:tcPr>
          <w:p w14:paraId="7DE78B0A" w14:textId="77777777" w:rsidR="00256BE9" w:rsidRPr="00436C82" w:rsidRDefault="00256BE9" w:rsidP="00256BE9">
            <w:pPr>
              <w:autoSpaceDE w:val="0"/>
              <w:autoSpaceDN w:val="0"/>
              <w:adjustRightInd w:val="0"/>
              <w:rPr>
                <w:rFonts w:ascii="Arial" w:hAnsi="Arial" w:cs="Arial"/>
                <w:sz w:val="22"/>
                <w:szCs w:val="22"/>
              </w:rPr>
            </w:pPr>
            <w:bookmarkStart w:id="0" w:name="_GoBack"/>
            <w:bookmarkEnd w:id="0"/>
          </w:p>
        </w:tc>
      </w:tr>
      <w:tr w:rsidR="00256BE9" w:rsidRPr="00973AFD" w14:paraId="129EACCB" w14:textId="36CDFB9D" w:rsidTr="00256BE9">
        <w:tc>
          <w:tcPr>
            <w:tcW w:w="1698" w:type="dxa"/>
          </w:tcPr>
          <w:p w14:paraId="427EB196" w14:textId="77777777" w:rsidR="00256BE9" w:rsidRPr="00973AFD" w:rsidRDefault="00256BE9" w:rsidP="00256BE9">
            <w:pPr>
              <w:rPr>
                <w:rFonts w:ascii="Arial" w:hAnsi="Arial" w:cs="Arial"/>
                <w:sz w:val="22"/>
                <w:szCs w:val="22"/>
              </w:rPr>
            </w:pPr>
          </w:p>
        </w:tc>
        <w:tc>
          <w:tcPr>
            <w:tcW w:w="2506" w:type="dxa"/>
          </w:tcPr>
          <w:p w14:paraId="116F98A5" w14:textId="77777777" w:rsidR="00256BE9" w:rsidRPr="00C45C35" w:rsidRDefault="00256BE9" w:rsidP="00256BE9">
            <w:pPr>
              <w:rPr>
                <w:rFonts w:ascii="Arial" w:hAnsi="Arial" w:cs="Arial"/>
                <w:sz w:val="22"/>
                <w:szCs w:val="22"/>
              </w:rPr>
            </w:pPr>
          </w:p>
        </w:tc>
        <w:tc>
          <w:tcPr>
            <w:tcW w:w="2631" w:type="dxa"/>
          </w:tcPr>
          <w:p w14:paraId="013F9A8F" w14:textId="77777777" w:rsidR="00256BE9" w:rsidRPr="00973AFD" w:rsidRDefault="00256BE9" w:rsidP="00256BE9">
            <w:pPr>
              <w:rPr>
                <w:rStyle w:val="markedcontent"/>
                <w:rFonts w:ascii="Arial" w:hAnsi="Arial" w:cs="Arial"/>
                <w:sz w:val="22"/>
                <w:szCs w:val="22"/>
                <w:u w:val="single"/>
              </w:rPr>
            </w:pPr>
          </w:p>
        </w:tc>
        <w:tc>
          <w:tcPr>
            <w:tcW w:w="2430" w:type="dxa"/>
          </w:tcPr>
          <w:p w14:paraId="26D6BA64" w14:textId="77777777" w:rsidR="00256BE9" w:rsidRPr="00973AFD" w:rsidRDefault="00256BE9" w:rsidP="00256BE9">
            <w:pPr>
              <w:rPr>
                <w:rFonts w:ascii="Arial" w:hAnsi="Arial" w:cs="Arial"/>
                <w:sz w:val="22"/>
                <w:szCs w:val="22"/>
              </w:rPr>
            </w:pPr>
          </w:p>
        </w:tc>
        <w:tc>
          <w:tcPr>
            <w:tcW w:w="2430" w:type="dxa"/>
          </w:tcPr>
          <w:p w14:paraId="19BF9A93" w14:textId="640ECCE1" w:rsidR="00256BE9" w:rsidRPr="00973AFD" w:rsidRDefault="00256BE9" w:rsidP="00256BE9">
            <w:pPr>
              <w:rPr>
                <w:rFonts w:ascii="Arial" w:hAnsi="Arial" w:cs="Arial"/>
                <w:sz w:val="22"/>
                <w:szCs w:val="22"/>
              </w:rPr>
            </w:pPr>
          </w:p>
        </w:tc>
        <w:tc>
          <w:tcPr>
            <w:tcW w:w="2610" w:type="dxa"/>
          </w:tcPr>
          <w:p w14:paraId="64828855" w14:textId="6C40C88A" w:rsidR="00256BE9" w:rsidRPr="00973AFD" w:rsidRDefault="00256BE9" w:rsidP="00256BE9">
            <w:pPr>
              <w:rPr>
                <w:rFonts w:ascii="Arial" w:hAnsi="Arial" w:cs="Arial"/>
                <w:sz w:val="22"/>
                <w:szCs w:val="22"/>
              </w:rPr>
            </w:pPr>
            <w:r w:rsidRPr="00436C82">
              <w:rPr>
                <w:rFonts w:ascii="Arial" w:hAnsi="Arial" w:cs="Arial"/>
                <w:sz w:val="22"/>
                <w:szCs w:val="22"/>
              </w:rPr>
              <w:t xml:space="preserve">33-46-6 (a)(1) … The medical protocols including reconsideration and appeal processes as well as other relevant medical issues used in the private review or utilization review program shall be established with input from health care healthcare providers who are from a major area of specialty and certified by the boards of the American medical specialties selected by a private review agency or utilization review entity and documentation of such protocols shall be made available upon request of health care healthcare providers; or, </w:t>
            </w:r>
            <w:r w:rsidRPr="00436C82">
              <w:rPr>
                <w:rFonts w:ascii="Arial" w:hAnsi="Arial" w:cs="Arial"/>
                <w:sz w:val="22"/>
                <w:szCs w:val="22"/>
              </w:rPr>
              <w:lastRenderedPageBreak/>
              <w:t>where not so addressed, protocols, including reconsideration and appeal processes as well as other relevant health care healthcare issues used in the private review such program, shall be established based on input from persons who are licensed in the appropriate health care healthcare provider's specialty recognized by a licensure agency of such a health care healthcare provider;</w:t>
            </w:r>
          </w:p>
        </w:tc>
        <w:tc>
          <w:tcPr>
            <w:tcW w:w="2610" w:type="dxa"/>
          </w:tcPr>
          <w:p w14:paraId="173A8EFA" w14:textId="77777777" w:rsidR="00256BE9" w:rsidRPr="00436C82" w:rsidRDefault="00256BE9" w:rsidP="00256BE9">
            <w:pPr>
              <w:rPr>
                <w:rFonts w:ascii="Arial" w:hAnsi="Arial" w:cs="Arial"/>
                <w:sz w:val="22"/>
                <w:szCs w:val="22"/>
              </w:rPr>
            </w:pPr>
          </w:p>
        </w:tc>
      </w:tr>
      <w:tr w:rsidR="00256BE9" w:rsidRPr="00973AFD" w14:paraId="3907552D" w14:textId="3C8BD799" w:rsidTr="00256BE9">
        <w:tc>
          <w:tcPr>
            <w:tcW w:w="1698" w:type="dxa"/>
          </w:tcPr>
          <w:p w14:paraId="3B52E60D" w14:textId="77777777" w:rsidR="00256BE9" w:rsidRPr="00973AFD" w:rsidRDefault="00256BE9" w:rsidP="00256BE9">
            <w:pPr>
              <w:rPr>
                <w:rFonts w:ascii="Arial" w:hAnsi="Arial" w:cs="Arial"/>
                <w:sz w:val="22"/>
                <w:szCs w:val="22"/>
              </w:rPr>
            </w:pPr>
          </w:p>
        </w:tc>
        <w:tc>
          <w:tcPr>
            <w:tcW w:w="2506" w:type="dxa"/>
          </w:tcPr>
          <w:p w14:paraId="76504F65" w14:textId="77777777" w:rsidR="00256BE9" w:rsidRPr="00C45C35" w:rsidRDefault="00256BE9" w:rsidP="00256BE9">
            <w:pPr>
              <w:rPr>
                <w:rFonts w:ascii="Arial" w:hAnsi="Arial" w:cs="Arial"/>
                <w:sz w:val="22"/>
                <w:szCs w:val="22"/>
              </w:rPr>
            </w:pPr>
          </w:p>
        </w:tc>
        <w:tc>
          <w:tcPr>
            <w:tcW w:w="2631" w:type="dxa"/>
          </w:tcPr>
          <w:p w14:paraId="720EDD18"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u w:val="single"/>
              </w:rPr>
              <w:t>Principle #2</w:t>
            </w:r>
            <w:r w:rsidRPr="00973AFD">
              <w:rPr>
                <w:rStyle w:val="markedcontent"/>
                <w:rFonts w:ascii="Arial" w:hAnsi="Arial" w:cs="Arial"/>
                <w:sz w:val="22"/>
                <w:szCs w:val="22"/>
              </w:rPr>
              <w:t xml:space="preserve">: Utilization management programs should allow for flexibility, including the timely overriding of step therapy requirements and appeal of prior authorization denials. </w:t>
            </w:r>
          </w:p>
          <w:p w14:paraId="0202CB42" w14:textId="77777777" w:rsidR="00256BE9" w:rsidRPr="00973AFD" w:rsidRDefault="00256BE9" w:rsidP="00256BE9">
            <w:pPr>
              <w:rPr>
                <w:rStyle w:val="markedcontent"/>
                <w:rFonts w:ascii="Arial" w:hAnsi="Arial" w:cs="Arial"/>
                <w:sz w:val="22"/>
                <w:szCs w:val="22"/>
                <w:u w:val="single"/>
              </w:rPr>
            </w:pPr>
          </w:p>
        </w:tc>
        <w:tc>
          <w:tcPr>
            <w:tcW w:w="2430" w:type="dxa"/>
          </w:tcPr>
          <w:p w14:paraId="60FDD561" w14:textId="77777777" w:rsidR="00256BE9" w:rsidRPr="00973AFD" w:rsidRDefault="00256BE9" w:rsidP="00256BE9">
            <w:pPr>
              <w:rPr>
                <w:rFonts w:ascii="Arial" w:hAnsi="Arial" w:cs="Arial"/>
                <w:sz w:val="22"/>
                <w:szCs w:val="22"/>
              </w:rPr>
            </w:pPr>
          </w:p>
        </w:tc>
        <w:tc>
          <w:tcPr>
            <w:tcW w:w="2430" w:type="dxa"/>
          </w:tcPr>
          <w:p w14:paraId="32E5AA41" w14:textId="16B96253" w:rsidR="00256BE9" w:rsidRPr="00973AFD" w:rsidRDefault="00256BE9" w:rsidP="00256BE9">
            <w:pPr>
              <w:rPr>
                <w:rFonts w:ascii="Arial" w:hAnsi="Arial" w:cs="Arial"/>
                <w:sz w:val="22"/>
                <w:szCs w:val="22"/>
              </w:rPr>
            </w:pPr>
          </w:p>
        </w:tc>
        <w:tc>
          <w:tcPr>
            <w:tcW w:w="2610" w:type="dxa"/>
          </w:tcPr>
          <w:p w14:paraId="0C5A38D1" w14:textId="77777777" w:rsidR="00256BE9" w:rsidRDefault="00256BE9" w:rsidP="00256BE9">
            <w:pPr>
              <w:rPr>
                <w:rFonts w:ascii="Arial" w:hAnsi="Arial" w:cs="Arial"/>
                <w:sz w:val="22"/>
                <w:szCs w:val="22"/>
              </w:rPr>
            </w:pPr>
            <w:r w:rsidRPr="00581D1A">
              <w:rPr>
                <w:rFonts w:ascii="Arial" w:hAnsi="Arial" w:cs="Arial"/>
                <w:sz w:val="22"/>
                <w:szCs w:val="22"/>
              </w:rPr>
              <w:t>(9) Private review agents and utilization review entities shall develop applicable</w:t>
            </w:r>
            <w:r>
              <w:rPr>
                <w:rFonts w:ascii="Arial" w:hAnsi="Arial" w:cs="Arial"/>
                <w:sz w:val="22"/>
                <w:szCs w:val="22"/>
              </w:rPr>
              <w:t xml:space="preserve"> </w:t>
            </w:r>
            <w:r w:rsidRPr="00581D1A">
              <w:rPr>
                <w:rFonts w:ascii="Arial" w:hAnsi="Arial" w:cs="Arial"/>
                <w:sz w:val="22"/>
                <w:szCs w:val="22"/>
              </w:rPr>
              <w:t>utilization review plans and conduct utilization review in accordance with standards as</w:t>
            </w:r>
            <w:r>
              <w:rPr>
                <w:rFonts w:ascii="Arial" w:hAnsi="Arial" w:cs="Arial"/>
                <w:sz w:val="22"/>
                <w:szCs w:val="22"/>
              </w:rPr>
              <w:t xml:space="preserve"> </w:t>
            </w:r>
            <w:r w:rsidRPr="00581D1A">
              <w:rPr>
                <w:rFonts w:ascii="Arial" w:hAnsi="Arial" w:cs="Arial"/>
                <w:sz w:val="22"/>
                <w:szCs w:val="22"/>
              </w:rPr>
              <w:t>set forth under this chapter and rules and regulations adopted by the Commissioner.</w:t>
            </w:r>
          </w:p>
          <w:p w14:paraId="7C4265F1" w14:textId="77777777" w:rsidR="00256BE9" w:rsidRPr="00581D1A" w:rsidRDefault="00256BE9" w:rsidP="00256BE9">
            <w:pPr>
              <w:rPr>
                <w:rFonts w:ascii="Arial" w:hAnsi="Arial" w:cs="Arial"/>
                <w:sz w:val="22"/>
                <w:szCs w:val="22"/>
              </w:rPr>
            </w:pPr>
            <w:r w:rsidRPr="00581D1A">
              <w:rPr>
                <w:rFonts w:ascii="Arial" w:hAnsi="Arial" w:cs="Arial"/>
                <w:sz w:val="22"/>
                <w:szCs w:val="22"/>
              </w:rPr>
              <w:t xml:space="preserve">(b) The Commissioner may consider nationally </w:t>
            </w:r>
            <w:r w:rsidRPr="00581D1A">
              <w:rPr>
                <w:rFonts w:ascii="Arial" w:hAnsi="Arial" w:cs="Arial"/>
                <w:sz w:val="22"/>
                <w:szCs w:val="22"/>
              </w:rPr>
              <w:lastRenderedPageBreak/>
              <w:t>recognized accreditation standards for</w:t>
            </w:r>
            <w:r>
              <w:rPr>
                <w:rFonts w:ascii="Arial" w:hAnsi="Arial" w:cs="Arial"/>
                <w:sz w:val="22"/>
                <w:szCs w:val="22"/>
              </w:rPr>
              <w:t xml:space="preserve"> </w:t>
            </w:r>
            <w:r w:rsidRPr="00581D1A">
              <w:rPr>
                <w:rFonts w:ascii="Arial" w:hAnsi="Arial" w:cs="Arial"/>
                <w:sz w:val="22"/>
                <w:szCs w:val="22"/>
              </w:rPr>
              <w:t>utilization review and may adopt by rule or regulation any such standards for the purposes</w:t>
            </w:r>
            <w:r>
              <w:rPr>
                <w:rFonts w:ascii="Arial" w:hAnsi="Arial" w:cs="Arial"/>
                <w:sz w:val="22"/>
                <w:szCs w:val="22"/>
              </w:rPr>
              <w:t xml:space="preserve"> </w:t>
            </w:r>
            <w:r w:rsidRPr="00581D1A">
              <w:rPr>
                <w:rFonts w:ascii="Arial" w:hAnsi="Arial" w:cs="Arial"/>
                <w:sz w:val="22"/>
                <w:szCs w:val="22"/>
              </w:rPr>
              <w:t>of enforcing this chapter, to the extent such standards do not conflict with this chapter.</w:t>
            </w:r>
          </w:p>
          <w:p w14:paraId="0257569A" w14:textId="1A4DBB59" w:rsidR="00256BE9" w:rsidRPr="00973AFD" w:rsidRDefault="00256BE9" w:rsidP="00256BE9">
            <w:pPr>
              <w:rPr>
                <w:rFonts w:ascii="Arial" w:hAnsi="Arial" w:cs="Arial"/>
                <w:sz w:val="22"/>
                <w:szCs w:val="22"/>
              </w:rPr>
            </w:pPr>
            <w:r w:rsidRPr="00581D1A">
              <w:rPr>
                <w:rFonts w:ascii="Arial" w:hAnsi="Arial" w:cs="Arial"/>
                <w:sz w:val="22"/>
                <w:szCs w:val="22"/>
              </w:rPr>
              <w:t>(c) The Commissioner may maintain on the department website a list of nationally</w:t>
            </w:r>
            <w:r>
              <w:rPr>
                <w:rFonts w:ascii="Arial" w:hAnsi="Arial" w:cs="Arial"/>
                <w:sz w:val="22"/>
                <w:szCs w:val="22"/>
              </w:rPr>
              <w:t xml:space="preserve"> </w:t>
            </w:r>
            <w:r w:rsidRPr="00581D1A">
              <w:rPr>
                <w:rFonts w:ascii="Arial" w:hAnsi="Arial" w:cs="Arial"/>
                <w:sz w:val="22"/>
                <w:szCs w:val="22"/>
              </w:rPr>
              <w:t>recognized accreditation entities.</w:t>
            </w:r>
          </w:p>
        </w:tc>
        <w:tc>
          <w:tcPr>
            <w:tcW w:w="2610" w:type="dxa"/>
          </w:tcPr>
          <w:p w14:paraId="5BDAED0F" w14:textId="77777777" w:rsidR="00256BE9" w:rsidRPr="00581D1A" w:rsidRDefault="00256BE9" w:rsidP="00256BE9">
            <w:pPr>
              <w:rPr>
                <w:rFonts w:ascii="Arial" w:hAnsi="Arial" w:cs="Arial"/>
                <w:sz w:val="22"/>
                <w:szCs w:val="22"/>
              </w:rPr>
            </w:pPr>
          </w:p>
        </w:tc>
      </w:tr>
      <w:tr w:rsidR="00256BE9" w:rsidRPr="00973AFD" w14:paraId="68C0F177" w14:textId="78C5488A" w:rsidTr="00256BE9">
        <w:tc>
          <w:tcPr>
            <w:tcW w:w="1698" w:type="dxa"/>
          </w:tcPr>
          <w:p w14:paraId="07AA2D7B" w14:textId="77777777" w:rsidR="00256BE9" w:rsidRPr="00973AFD" w:rsidRDefault="00256BE9" w:rsidP="00256BE9">
            <w:pPr>
              <w:rPr>
                <w:rFonts w:ascii="Arial" w:hAnsi="Arial" w:cs="Arial"/>
                <w:sz w:val="22"/>
                <w:szCs w:val="22"/>
              </w:rPr>
            </w:pPr>
          </w:p>
        </w:tc>
        <w:tc>
          <w:tcPr>
            <w:tcW w:w="2506" w:type="dxa"/>
          </w:tcPr>
          <w:p w14:paraId="0883BF5A" w14:textId="41509FAF" w:rsidR="00256BE9" w:rsidRPr="00C45C35" w:rsidRDefault="00256BE9" w:rsidP="00256BE9">
            <w:pPr>
              <w:rPr>
                <w:rFonts w:ascii="Arial" w:hAnsi="Arial" w:cs="Arial"/>
                <w:color w:val="000000"/>
                <w:sz w:val="22"/>
                <w:szCs w:val="22"/>
              </w:rPr>
            </w:pPr>
            <w:r w:rsidRPr="00C45C35">
              <w:rPr>
                <w:rFonts w:ascii="Arial" w:hAnsi="Arial" w:cs="Arial"/>
                <w:sz w:val="22"/>
                <w:szCs w:val="22"/>
              </w:rPr>
              <w:t xml:space="preserve">PPS3: </w:t>
            </w:r>
            <w:r w:rsidRPr="00C45C35">
              <w:rPr>
                <w:rFonts w:ascii="Arial" w:hAnsi="Arial" w:cs="Arial"/>
                <w:color w:val="000000"/>
                <w:sz w:val="22"/>
                <w:szCs w:val="22"/>
              </w:rPr>
              <w:t xml:space="preserve">A surgeon’s post-op protocol for physical therapy for a certain period of time shall be a rebuttable presumption that the services in the post-op protocol are medically necessary. The health plan bears the burden of proving that the surgeon’s protocol is not medically necessary.  </w:t>
            </w:r>
          </w:p>
          <w:p w14:paraId="269F8D4B" w14:textId="77777777" w:rsidR="00256BE9" w:rsidRPr="00C45C35" w:rsidRDefault="00256BE9" w:rsidP="00256BE9">
            <w:pPr>
              <w:rPr>
                <w:rFonts w:ascii="Arial" w:hAnsi="Arial" w:cs="Arial"/>
                <w:sz w:val="22"/>
                <w:szCs w:val="22"/>
              </w:rPr>
            </w:pPr>
          </w:p>
        </w:tc>
        <w:tc>
          <w:tcPr>
            <w:tcW w:w="2631" w:type="dxa"/>
          </w:tcPr>
          <w:p w14:paraId="51FC4645" w14:textId="77777777" w:rsidR="00256BE9" w:rsidRPr="00973AFD" w:rsidRDefault="00256BE9" w:rsidP="00256BE9">
            <w:pPr>
              <w:rPr>
                <w:rStyle w:val="markedcontent"/>
                <w:rFonts w:ascii="Arial" w:hAnsi="Arial" w:cs="Arial"/>
                <w:sz w:val="22"/>
                <w:szCs w:val="22"/>
                <w:u w:val="single"/>
              </w:rPr>
            </w:pPr>
          </w:p>
        </w:tc>
        <w:tc>
          <w:tcPr>
            <w:tcW w:w="2430" w:type="dxa"/>
          </w:tcPr>
          <w:p w14:paraId="7F5E6C9F" w14:textId="77777777" w:rsidR="00256BE9" w:rsidRPr="00D23ECD" w:rsidRDefault="00256BE9" w:rsidP="00256BE9">
            <w:pPr>
              <w:rPr>
                <w:rFonts w:ascii="Arial" w:hAnsi="Arial" w:cs="Arial"/>
                <w:sz w:val="22"/>
                <w:szCs w:val="22"/>
              </w:rPr>
            </w:pPr>
          </w:p>
        </w:tc>
        <w:tc>
          <w:tcPr>
            <w:tcW w:w="2430" w:type="dxa"/>
          </w:tcPr>
          <w:p w14:paraId="1EC85223" w14:textId="04EFD22B" w:rsidR="00256BE9" w:rsidRDefault="00256BE9" w:rsidP="00256BE9">
            <w:pPr>
              <w:rPr>
                <w:rFonts w:ascii="Arial" w:hAnsi="Arial" w:cs="Arial"/>
                <w:sz w:val="22"/>
                <w:szCs w:val="22"/>
              </w:rPr>
            </w:pPr>
            <w:r w:rsidRPr="00D23ECD">
              <w:rPr>
                <w:rFonts w:ascii="Arial" w:hAnsi="Arial" w:cs="Arial"/>
                <w:sz w:val="22"/>
                <w:szCs w:val="22"/>
              </w:rPr>
              <w:t xml:space="preserve">For purposes of this section prior authorization is a decision </w:t>
            </w:r>
            <w:r w:rsidRPr="00D23ECD">
              <w:rPr>
                <w:rFonts w:ascii="Arial" w:hAnsi="Arial" w:cs="Arial"/>
                <w:i/>
                <w:sz w:val="22"/>
                <w:szCs w:val="22"/>
              </w:rPr>
              <w:t>made by a managed care organization</w:t>
            </w:r>
            <w:r w:rsidRPr="00D23ECD">
              <w:rPr>
                <w:rFonts w:ascii="Arial" w:hAnsi="Arial" w:cs="Arial"/>
                <w:sz w:val="22"/>
                <w:szCs w:val="22"/>
              </w:rPr>
              <w:t xml:space="preserve"> that a health care service, treatment plan, prescription drug or durable medical equipment is medically necessary.</w:t>
            </w:r>
          </w:p>
          <w:p w14:paraId="244A2E94" w14:textId="7B66FE14" w:rsidR="00256BE9" w:rsidRPr="00973AFD" w:rsidRDefault="00256BE9" w:rsidP="00256BE9">
            <w:pPr>
              <w:rPr>
                <w:rFonts w:ascii="Arial" w:hAnsi="Arial" w:cs="Arial"/>
                <w:sz w:val="22"/>
                <w:szCs w:val="22"/>
              </w:rPr>
            </w:pPr>
            <w:r>
              <w:rPr>
                <w:rFonts w:ascii="Arial" w:hAnsi="Arial" w:cs="Arial"/>
                <w:sz w:val="22"/>
                <w:szCs w:val="22"/>
              </w:rPr>
              <w:t>[emphasis added]</w:t>
            </w:r>
          </w:p>
        </w:tc>
        <w:tc>
          <w:tcPr>
            <w:tcW w:w="2610" w:type="dxa"/>
          </w:tcPr>
          <w:p w14:paraId="4446346C" w14:textId="77777777" w:rsidR="00256BE9" w:rsidRPr="00973AFD" w:rsidRDefault="00256BE9" w:rsidP="00256BE9">
            <w:pPr>
              <w:rPr>
                <w:rFonts w:ascii="Arial" w:hAnsi="Arial" w:cs="Arial"/>
                <w:sz w:val="22"/>
                <w:szCs w:val="22"/>
              </w:rPr>
            </w:pPr>
          </w:p>
        </w:tc>
        <w:tc>
          <w:tcPr>
            <w:tcW w:w="2610" w:type="dxa"/>
          </w:tcPr>
          <w:p w14:paraId="437CCC25" w14:textId="77777777" w:rsidR="00256BE9" w:rsidRPr="00973AFD" w:rsidRDefault="00256BE9" w:rsidP="00256BE9">
            <w:pPr>
              <w:rPr>
                <w:rFonts w:ascii="Arial" w:hAnsi="Arial" w:cs="Arial"/>
                <w:sz w:val="22"/>
                <w:szCs w:val="22"/>
              </w:rPr>
            </w:pPr>
          </w:p>
        </w:tc>
      </w:tr>
      <w:tr w:rsidR="00256BE9" w:rsidRPr="00973AFD" w14:paraId="0FBA21C7" w14:textId="25B08494" w:rsidTr="00256BE9">
        <w:tc>
          <w:tcPr>
            <w:tcW w:w="1698" w:type="dxa"/>
          </w:tcPr>
          <w:p w14:paraId="3BD02BD7" w14:textId="77777777" w:rsidR="00256BE9" w:rsidRPr="00973AFD" w:rsidRDefault="00256BE9" w:rsidP="00256BE9">
            <w:pPr>
              <w:rPr>
                <w:rFonts w:ascii="Arial" w:hAnsi="Arial" w:cs="Arial"/>
                <w:sz w:val="22"/>
                <w:szCs w:val="22"/>
              </w:rPr>
            </w:pPr>
          </w:p>
        </w:tc>
        <w:tc>
          <w:tcPr>
            <w:tcW w:w="2506" w:type="dxa"/>
          </w:tcPr>
          <w:p w14:paraId="2DAA5C6B" w14:textId="77777777" w:rsidR="00256BE9" w:rsidRPr="00C45C35" w:rsidRDefault="00256BE9" w:rsidP="00256BE9">
            <w:pPr>
              <w:pStyle w:val="NormalWeb"/>
              <w:spacing w:before="0" w:beforeAutospacing="0" w:after="0" w:afterAutospacing="0"/>
              <w:textAlignment w:val="baseline"/>
              <w:rPr>
                <w:rFonts w:ascii="Arial" w:hAnsi="Arial" w:cs="Arial"/>
                <w:color w:val="000000"/>
                <w:sz w:val="22"/>
                <w:szCs w:val="22"/>
              </w:rPr>
            </w:pPr>
            <w:r w:rsidRPr="00C45C35">
              <w:rPr>
                <w:rFonts w:ascii="Arial" w:hAnsi="Arial" w:cs="Arial"/>
                <w:sz w:val="22"/>
                <w:szCs w:val="22"/>
              </w:rPr>
              <w:t xml:space="preserve">PPS9: </w:t>
            </w:r>
            <w:r w:rsidRPr="00C45C35">
              <w:rPr>
                <w:rFonts w:ascii="Arial" w:hAnsi="Arial" w:cs="Arial"/>
                <w:color w:val="000000"/>
                <w:sz w:val="22"/>
                <w:szCs w:val="22"/>
              </w:rPr>
              <w:t>All UR/UM organizations shall staff peer-to-peer reviews with credentialed and state-licensed clinicians for the type of service being reviewed.</w:t>
            </w:r>
          </w:p>
          <w:p w14:paraId="3C2EA781" w14:textId="77777777" w:rsidR="00256BE9" w:rsidRPr="00C45C35" w:rsidRDefault="00256BE9" w:rsidP="00256BE9">
            <w:pPr>
              <w:rPr>
                <w:rFonts w:ascii="Arial" w:hAnsi="Arial" w:cs="Arial"/>
                <w:sz w:val="22"/>
                <w:szCs w:val="22"/>
              </w:rPr>
            </w:pPr>
          </w:p>
        </w:tc>
        <w:tc>
          <w:tcPr>
            <w:tcW w:w="2631" w:type="dxa"/>
          </w:tcPr>
          <w:p w14:paraId="53D855E9" w14:textId="4D0ADB0F" w:rsidR="00256BE9" w:rsidRPr="00973AFD" w:rsidRDefault="00256BE9" w:rsidP="00256BE9">
            <w:pPr>
              <w:rPr>
                <w:rFonts w:ascii="Arial" w:hAnsi="Arial" w:cs="Arial"/>
                <w:sz w:val="22"/>
                <w:szCs w:val="22"/>
              </w:rPr>
            </w:pPr>
            <w:r w:rsidRPr="00973AFD">
              <w:rPr>
                <w:rStyle w:val="markedcontent"/>
                <w:rFonts w:ascii="Arial" w:hAnsi="Arial" w:cs="Arial"/>
                <w:sz w:val="22"/>
                <w:szCs w:val="22"/>
                <w:u w:val="single"/>
              </w:rPr>
              <w:t>Principle #3</w:t>
            </w:r>
            <w:r w:rsidRPr="00973AFD">
              <w:rPr>
                <w:rStyle w:val="markedcontent"/>
                <w:rFonts w:ascii="Arial" w:hAnsi="Arial" w:cs="Arial"/>
                <w:sz w:val="22"/>
                <w:szCs w:val="22"/>
              </w:rPr>
              <w:t>: Utilization review entities should offer an appeals system for their utilization management programs that allows a prescribing/ordering provider direct access, such as a toll-free number, to a provider of the same training and specialty/subspecialty for discussion of medical necessity issues.</w:t>
            </w:r>
          </w:p>
          <w:p w14:paraId="64DCD5E1" w14:textId="77777777" w:rsidR="00256BE9" w:rsidRPr="00973AFD" w:rsidRDefault="00256BE9" w:rsidP="00256BE9">
            <w:pPr>
              <w:rPr>
                <w:rStyle w:val="markedcontent"/>
                <w:rFonts w:ascii="Arial" w:hAnsi="Arial" w:cs="Arial"/>
                <w:sz w:val="22"/>
                <w:szCs w:val="22"/>
                <w:u w:val="single"/>
              </w:rPr>
            </w:pPr>
          </w:p>
        </w:tc>
        <w:tc>
          <w:tcPr>
            <w:tcW w:w="2430" w:type="dxa"/>
          </w:tcPr>
          <w:p w14:paraId="38929630" w14:textId="52AA433A" w:rsidR="00256BE9" w:rsidRPr="00D23ECD" w:rsidRDefault="00256BE9" w:rsidP="00256BE9">
            <w:pPr>
              <w:rPr>
                <w:rFonts w:ascii="Arial" w:hAnsi="Arial" w:cs="Arial"/>
                <w:sz w:val="22"/>
                <w:szCs w:val="22"/>
              </w:rPr>
            </w:pPr>
          </w:p>
        </w:tc>
        <w:tc>
          <w:tcPr>
            <w:tcW w:w="2430" w:type="dxa"/>
          </w:tcPr>
          <w:p w14:paraId="3A671FA9" w14:textId="647A0805" w:rsidR="00256BE9" w:rsidRPr="00973AFD" w:rsidRDefault="00256BE9" w:rsidP="00256BE9">
            <w:pPr>
              <w:rPr>
                <w:rFonts w:ascii="Arial" w:hAnsi="Arial" w:cs="Arial"/>
                <w:sz w:val="22"/>
                <w:szCs w:val="22"/>
              </w:rPr>
            </w:pPr>
            <w:r w:rsidRPr="00D23ECD">
              <w:rPr>
                <w:rFonts w:ascii="Arial" w:hAnsi="Arial" w:cs="Arial"/>
                <w:sz w:val="22"/>
                <w:szCs w:val="22"/>
              </w:rPr>
              <w:t xml:space="preserve">A managed care organization that implements an automated prior authorization system shall ensure that a licensed physician or licensed health care professional who is competent to evaluate the specific clinical issues involved in the health service </w:t>
            </w:r>
          </w:p>
        </w:tc>
        <w:tc>
          <w:tcPr>
            <w:tcW w:w="2610" w:type="dxa"/>
          </w:tcPr>
          <w:p w14:paraId="00047D1D" w14:textId="33191548" w:rsidR="00256BE9" w:rsidRPr="006C0DBC" w:rsidRDefault="00256BE9" w:rsidP="00256BE9">
            <w:pPr>
              <w:rPr>
                <w:rFonts w:ascii="Arial" w:hAnsi="Arial" w:cs="Arial"/>
                <w:sz w:val="22"/>
                <w:szCs w:val="22"/>
              </w:rPr>
            </w:pPr>
            <w:r w:rsidRPr="00436C82">
              <w:rPr>
                <w:rFonts w:ascii="Arial" w:hAnsi="Arial" w:cs="Arial"/>
                <w:sz w:val="22"/>
                <w:szCs w:val="22"/>
              </w:rPr>
              <w:t>33-46-4 (7) 'Clinical peer' means a healthcare provider who is licensed without restriction or otherwise legally authorized and currently in active practice in the same or similar specialty as that of the treating provider, and who typically manages the medical condition or disease at issue and has knowledge of and experience providing the healthcare service or treatment under review.</w:t>
            </w:r>
          </w:p>
        </w:tc>
        <w:tc>
          <w:tcPr>
            <w:tcW w:w="2610" w:type="dxa"/>
          </w:tcPr>
          <w:p w14:paraId="7FDAF322" w14:textId="77777777" w:rsidR="00256BE9" w:rsidRPr="00436C82" w:rsidRDefault="00256BE9" w:rsidP="00256BE9">
            <w:pPr>
              <w:rPr>
                <w:rFonts w:ascii="Arial" w:hAnsi="Arial" w:cs="Arial"/>
                <w:sz w:val="22"/>
                <w:szCs w:val="22"/>
              </w:rPr>
            </w:pPr>
          </w:p>
        </w:tc>
      </w:tr>
      <w:tr w:rsidR="00256BE9" w:rsidRPr="00973AFD" w14:paraId="6E774334" w14:textId="0DAE6999" w:rsidTr="00256BE9">
        <w:tc>
          <w:tcPr>
            <w:tcW w:w="1698" w:type="dxa"/>
          </w:tcPr>
          <w:p w14:paraId="5A2FC651" w14:textId="73CA6F87" w:rsidR="00256BE9" w:rsidRPr="00973AFD" w:rsidRDefault="00256BE9" w:rsidP="00256BE9">
            <w:pPr>
              <w:rPr>
                <w:rFonts w:ascii="Arial" w:hAnsi="Arial" w:cs="Arial"/>
                <w:sz w:val="22"/>
                <w:szCs w:val="22"/>
              </w:rPr>
            </w:pPr>
            <w:r w:rsidRPr="00973AFD">
              <w:rPr>
                <w:rFonts w:ascii="Arial" w:hAnsi="Arial" w:cs="Arial"/>
                <w:sz w:val="22"/>
                <w:szCs w:val="22"/>
              </w:rPr>
              <w:t>Continuity of Care</w:t>
            </w:r>
          </w:p>
        </w:tc>
        <w:tc>
          <w:tcPr>
            <w:tcW w:w="2506" w:type="dxa"/>
          </w:tcPr>
          <w:p w14:paraId="75D80317" w14:textId="77777777" w:rsidR="00256BE9" w:rsidRPr="00C45C35" w:rsidRDefault="00256BE9" w:rsidP="00256BE9">
            <w:pPr>
              <w:rPr>
                <w:rFonts w:ascii="Arial" w:hAnsi="Arial" w:cs="Arial"/>
                <w:sz w:val="22"/>
                <w:szCs w:val="22"/>
              </w:rPr>
            </w:pPr>
          </w:p>
        </w:tc>
        <w:tc>
          <w:tcPr>
            <w:tcW w:w="2631" w:type="dxa"/>
          </w:tcPr>
          <w:p w14:paraId="4C038132" w14:textId="77777777" w:rsidR="00256BE9" w:rsidRDefault="00256BE9" w:rsidP="00256BE9">
            <w:pPr>
              <w:rPr>
                <w:rStyle w:val="markedcontent"/>
                <w:rFonts w:ascii="Arial" w:hAnsi="Arial" w:cs="Arial"/>
                <w:sz w:val="22"/>
                <w:szCs w:val="22"/>
              </w:rPr>
            </w:pPr>
            <w:r w:rsidRPr="00973AFD">
              <w:rPr>
                <w:rStyle w:val="markedcontent"/>
                <w:rFonts w:ascii="Arial" w:hAnsi="Arial" w:cs="Arial"/>
                <w:sz w:val="22"/>
                <w:szCs w:val="22"/>
                <w:u w:val="single"/>
              </w:rPr>
              <w:t>Principle #4</w:t>
            </w:r>
            <w:r w:rsidRPr="00973AFD">
              <w:rPr>
                <w:rStyle w:val="markedcontent"/>
                <w:rFonts w:ascii="Arial" w:hAnsi="Arial" w:cs="Arial"/>
                <w:sz w:val="22"/>
                <w:szCs w:val="22"/>
              </w:rPr>
              <w:t xml:space="preserve">: Utilization review entities should offer a minimum of a 60-day grace period for any step-therapy or prior authorization protocols for patients who are already stabilized on a particular treatment upon enrollment in the plan. During this period, any medical treatment or drug regimen should not be interrupted while </w:t>
            </w:r>
            <w:r w:rsidRPr="00973AFD">
              <w:rPr>
                <w:rStyle w:val="markedcontent"/>
                <w:rFonts w:ascii="Arial" w:hAnsi="Arial" w:cs="Arial"/>
                <w:sz w:val="22"/>
                <w:szCs w:val="22"/>
              </w:rPr>
              <w:lastRenderedPageBreak/>
              <w:t xml:space="preserve">the utilization management requirements (e.g., prior authorization, step therapy overrides, formulary exceptions, etc.) are addressed. </w:t>
            </w:r>
          </w:p>
          <w:p w14:paraId="7AFB783F" w14:textId="2706D419" w:rsidR="00256BE9" w:rsidRPr="00973AFD" w:rsidRDefault="00256BE9" w:rsidP="00256BE9">
            <w:pPr>
              <w:rPr>
                <w:rFonts w:ascii="Arial" w:hAnsi="Arial" w:cs="Arial"/>
                <w:sz w:val="22"/>
                <w:szCs w:val="22"/>
              </w:rPr>
            </w:pPr>
          </w:p>
        </w:tc>
        <w:tc>
          <w:tcPr>
            <w:tcW w:w="2430" w:type="dxa"/>
          </w:tcPr>
          <w:p w14:paraId="764AB7D2" w14:textId="77777777" w:rsidR="00256BE9" w:rsidRPr="00973AFD" w:rsidRDefault="00256BE9" w:rsidP="00256BE9">
            <w:pPr>
              <w:rPr>
                <w:rFonts w:ascii="Arial" w:hAnsi="Arial" w:cs="Arial"/>
                <w:sz w:val="22"/>
                <w:szCs w:val="22"/>
              </w:rPr>
            </w:pPr>
          </w:p>
        </w:tc>
        <w:tc>
          <w:tcPr>
            <w:tcW w:w="2430" w:type="dxa"/>
          </w:tcPr>
          <w:p w14:paraId="3D40A4B7" w14:textId="6A987844" w:rsidR="00256BE9" w:rsidRPr="00973AFD" w:rsidRDefault="00256BE9" w:rsidP="00256BE9">
            <w:pPr>
              <w:rPr>
                <w:rFonts w:ascii="Arial" w:hAnsi="Arial" w:cs="Arial"/>
                <w:sz w:val="22"/>
                <w:szCs w:val="22"/>
              </w:rPr>
            </w:pPr>
          </w:p>
        </w:tc>
        <w:tc>
          <w:tcPr>
            <w:tcW w:w="2610" w:type="dxa"/>
          </w:tcPr>
          <w:p w14:paraId="0CA25F1D" w14:textId="77777777" w:rsidR="00256BE9" w:rsidRPr="00973AFD" w:rsidRDefault="00256BE9" w:rsidP="00256BE9">
            <w:pPr>
              <w:rPr>
                <w:rFonts w:ascii="Arial" w:hAnsi="Arial" w:cs="Arial"/>
                <w:sz w:val="22"/>
                <w:szCs w:val="22"/>
              </w:rPr>
            </w:pPr>
          </w:p>
        </w:tc>
        <w:tc>
          <w:tcPr>
            <w:tcW w:w="2610" w:type="dxa"/>
          </w:tcPr>
          <w:p w14:paraId="7715CB00" w14:textId="77777777" w:rsidR="00256BE9" w:rsidRPr="00973AFD" w:rsidRDefault="00256BE9" w:rsidP="00256BE9">
            <w:pPr>
              <w:rPr>
                <w:rFonts w:ascii="Arial" w:hAnsi="Arial" w:cs="Arial"/>
                <w:sz w:val="22"/>
                <w:szCs w:val="22"/>
              </w:rPr>
            </w:pPr>
          </w:p>
        </w:tc>
      </w:tr>
      <w:tr w:rsidR="00256BE9" w:rsidRPr="00973AFD" w14:paraId="16B70F7D" w14:textId="1A19B697" w:rsidTr="00256BE9">
        <w:tc>
          <w:tcPr>
            <w:tcW w:w="1698" w:type="dxa"/>
          </w:tcPr>
          <w:p w14:paraId="4B78550A" w14:textId="77777777" w:rsidR="00256BE9" w:rsidRPr="00973AFD" w:rsidRDefault="00256BE9" w:rsidP="00256BE9">
            <w:pPr>
              <w:rPr>
                <w:rFonts w:ascii="Arial" w:hAnsi="Arial" w:cs="Arial"/>
                <w:sz w:val="22"/>
                <w:szCs w:val="22"/>
              </w:rPr>
            </w:pPr>
          </w:p>
        </w:tc>
        <w:tc>
          <w:tcPr>
            <w:tcW w:w="2506" w:type="dxa"/>
          </w:tcPr>
          <w:p w14:paraId="6263342D" w14:textId="77777777" w:rsidR="00256BE9" w:rsidRPr="00C45C35" w:rsidRDefault="00256BE9" w:rsidP="00256BE9">
            <w:pPr>
              <w:rPr>
                <w:rFonts w:ascii="Arial" w:hAnsi="Arial" w:cs="Arial"/>
                <w:color w:val="000000"/>
                <w:sz w:val="22"/>
                <w:szCs w:val="22"/>
              </w:rPr>
            </w:pPr>
          </w:p>
        </w:tc>
        <w:tc>
          <w:tcPr>
            <w:tcW w:w="2631" w:type="dxa"/>
          </w:tcPr>
          <w:p w14:paraId="214B05E5" w14:textId="6CE2E53C" w:rsidR="00256BE9" w:rsidRDefault="00256BE9" w:rsidP="00256BE9">
            <w:pPr>
              <w:rPr>
                <w:rStyle w:val="markedcontent"/>
                <w:rFonts w:ascii="Arial" w:hAnsi="Arial" w:cs="Arial"/>
                <w:sz w:val="22"/>
                <w:szCs w:val="22"/>
              </w:rPr>
            </w:pPr>
            <w:r w:rsidRPr="00973AFD">
              <w:rPr>
                <w:rStyle w:val="markedcontent"/>
                <w:rFonts w:ascii="Arial" w:hAnsi="Arial" w:cs="Arial"/>
                <w:sz w:val="22"/>
                <w:szCs w:val="22"/>
                <w:u w:val="single"/>
              </w:rPr>
              <w:t>Principle #5</w:t>
            </w:r>
            <w:r w:rsidRPr="00973AFD">
              <w:rPr>
                <w:rStyle w:val="markedcontent"/>
                <w:rFonts w:ascii="Arial" w:hAnsi="Arial" w:cs="Arial"/>
                <w:sz w:val="22"/>
                <w:szCs w:val="22"/>
              </w:rPr>
              <w:t xml:space="preserve">: A drug or medical service that is removed from a plan’s formulary or is subject to new coverage restrictions after the beneficiary enrollment period has ended should be covered without restrictions for the duration of the benefit year. </w:t>
            </w:r>
          </w:p>
          <w:p w14:paraId="12D5907F" w14:textId="77777777" w:rsidR="00256BE9" w:rsidRPr="00973AFD" w:rsidRDefault="00256BE9" w:rsidP="00256BE9">
            <w:pPr>
              <w:rPr>
                <w:rStyle w:val="markedcontent"/>
                <w:rFonts w:ascii="Arial" w:hAnsi="Arial" w:cs="Arial"/>
                <w:sz w:val="22"/>
                <w:szCs w:val="22"/>
                <w:u w:val="single"/>
              </w:rPr>
            </w:pPr>
          </w:p>
        </w:tc>
        <w:tc>
          <w:tcPr>
            <w:tcW w:w="2430" w:type="dxa"/>
          </w:tcPr>
          <w:p w14:paraId="2341441C" w14:textId="77777777" w:rsidR="00256BE9" w:rsidRPr="00973AFD" w:rsidRDefault="00256BE9" w:rsidP="00256BE9">
            <w:pPr>
              <w:rPr>
                <w:rFonts w:ascii="Arial" w:hAnsi="Arial" w:cs="Arial"/>
                <w:sz w:val="22"/>
                <w:szCs w:val="22"/>
              </w:rPr>
            </w:pPr>
          </w:p>
        </w:tc>
        <w:tc>
          <w:tcPr>
            <w:tcW w:w="2430" w:type="dxa"/>
          </w:tcPr>
          <w:p w14:paraId="1F861261" w14:textId="2B7ADB71" w:rsidR="00256BE9" w:rsidRPr="00973AFD" w:rsidRDefault="00256BE9" w:rsidP="00256BE9">
            <w:pPr>
              <w:rPr>
                <w:rFonts w:ascii="Arial" w:hAnsi="Arial" w:cs="Arial"/>
                <w:sz w:val="22"/>
                <w:szCs w:val="22"/>
              </w:rPr>
            </w:pPr>
          </w:p>
        </w:tc>
        <w:tc>
          <w:tcPr>
            <w:tcW w:w="2610" w:type="dxa"/>
          </w:tcPr>
          <w:p w14:paraId="26F93CFE" w14:textId="77777777" w:rsidR="00256BE9" w:rsidRPr="00973AFD" w:rsidRDefault="00256BE9" w:rsidP="00256BE9">
            <w:pPr>
              <w:rPr>
                <w:rFonts w:ascii="Arial" w:hAnsi="Arial" w:cs="Arial"/>
                <w:sz w:val="22"/>
                <w:szCs w:val="22"/>
              </w:rPr>
            </w:pPr>
          </w:p>
        </w:tc>
        <w:tc>
          <w:tcPr>
            <w:tcW w:w="2610" w:type="dxa"/>
          </w:tcPr>
          <w:p w14:paraId="677E6E6F" w14:textId="77777777" w:rsidR="00256BE9" w:rsidRPr="00973AFD" w:rsidRDefault="00256BE9" w:rsidP="00256BE9">
            <w:pPr>
              <w:rPr>
                <w:rFonts w:ascii="Arial" w:hAnsi="Arial" w:cs="Arial"/>
                <w:sz w:val="22"/>
                <w:szCs w:val="22"/>
              </w:rPr>
            </w:pPr>
          </w:p>
        </w:tc>
      </w:tr>
      <w:tr w:rsidR="00256BE9" w:rsidRPr="00973AFD" w14:paraId="0CD302D3" w14:textId="785F7F46" w:rsidTr="00256BE9">
        <w:tc>
          <w:tcPr>
            <w:tcW w:w="1698" w:type="dxa"/>
          </w:tcPr>
          <w:p w14:paraId="41D5ECF3" w14:textId="77777777" w:rsidR="00256BE9" w:rsidRPr="00973AFD" w:rsidRDefault="00256BE9" w:rsidP="00256BE9">
            <w:pPr>
              <w:rPr>
                <w:rFonts w:ascii="Arial" w:hAnsi="Arial" w:cs="Arial"/>
                <w:sz w:val="22"/>
                <w:szCs w:val="22"/>
              </w:rPr>
            </w:pPr>
          </w:p>
        </w:tc>
        <w:tc>
          <w:tcPr>
            <w:tcW w:w="2506" w:type="dxa"/>
          </w:tcPr>
          <w:p w14:paraId="46F00330" w14:textId="77777777" w:rsidR="00256BE9" w:rsidRPr="00C45C35" w:rsidRDefault="00256BE9" w:rsidP="00256BE9">
            <w:pPr>
              <w:rPr>
                <w:rFonts w:ascii="Arial" w:hAnsi="Arial" w:cs="Arial"/>
                <w:color w:val="000000"/>
                <w:sz w:val="22"/>
                <w:szCs w:val="22"/>
              </w:rPr>
            </w:pPr>
          </w:p>
        </w:tc>
        <w:tc>
          <w:tcPr>
            <w:tcW w:w="2631" w:type="dxa"/>
          </w:tcPr>
          <w:p w14:paraId="7CDF474F" w14:textId="77777777" w:rsidR="00256BE9" w:rsidRPr="00973AFD" w:rsidRDefault="00256BE9" w:rsidP="00256BE9">
            <w:pPr>
              <w:rPr>
                <w:rFonts w:ascii="Arial" w:hAnsi="Arial" w:cs="Arial"/>
                <w:sz w:val="22"/>
                <w:szCs w:val="22"/>
              </w:rPr>
            </w:pPr>
            <w:r w:rsidRPr="00973AFD">
              <w:rPr>
                <w:rStyle w:val="markedcontent"/>
                <w:rFonts w:ascii="Arial" w:hAnsi="Arial" w:cs="Arial"/>
                <w:sz w:val="22"/>
                <w:szCs w:val="22"/>
                <w:u w:val="single"/>
              </w:rPr>
              <w:t>Principle #6</w:t>
            </w:r>
            <w:r w:rsidRPr="00973AFD">
              <w:rPr>
                <w:rStyle w:val="markedcontent"/>
                <w:rFonts w:ascii="Arial" w:hAnsi="Arial" w:cs="Arial"/>
                <w:sz w:val="22"/>
                <w:szCs w:val="22"/>
              </w:rPr>
              <w:t>: A prior authorization approval should be valid for the duration of the prescribed/ordered course of treatment.</w:t>
            </w:r>
          </w:p>
          <w:p w14:paraId="00B72B46" w14:textId="77777777" w:rsidR="00256BE9" w:rsidRPr="00973AFD" w:rsidRDefault="00256BE9" w:rsidP="00256BE9">
            <w:pPr>
              <w:rPr>
                <w:rStyle w:val="markedcontent"/>
                <w:rFonts w:ascii="Arial" w:hAnsi="Arial" w:cs="Arial"/>
                <w:sz w:val="22"/>
                <w:szCs w:val="22"/>
                <w:u w:val="single"/>
              </w:rPr>
            </w:pPr>
          </w:p>
        </w:tc>
        <w:tc>
          <w:tcPr>
            <w:tcW w:w="2430" w:type="dxa"/>
          </w:tcPr>
          <w:p w14:paraId="1084AFC2" w14:textId="77777777" w:rsidR="00256BE9" w:rsidRPr="00973AFD" w:rsidRDefault="00256BE9" w:rsidP="00256BE9">
            <w:pPr>
              <w:rPr>
                <w:rFonts w:ascii="Arial" w:hAnsi="Arial" w:cs="Arial"/>
                <w:sz w:val="22"/>
                <w:szCs w:val="22"/>
              </w:rPr>
            </w:pPr>
          </w:p>
        </w:tc>
        <w:tc>
          <w:tcPr>
            <w:tcW w:w="2430" w:type="dxa"/>
          </w:tcPr>
          <w:p w14:paraId="28EAA780" w14:textId="19DEB9A5" w:rsidR="00256BE9" w:rsidRPr="00973AFD" w:rsidRDefault="00256BE9" w:rsidP="00256BE9">
            <w:pPr>
              <w:rPr>
                <w:rFonts w:ascii="Arial" w:hAnsi="Arial" w:cs="Arial"/>
                <w:sz w:val="22"/>
                <w:szCs w:val="22"/>
              </w:rPr>
            </w:pPr>
          </w:p>
        </w:tc>
        <w:tc>
          <w:tcPr>
            <w:tcW w:w="2610" w:type="dxa"/>
          </w:tcPr>
          <w:p w14:paraId="68DB38A1" w14:textId="77777777" w:rsidR="00256BE9" w:rsidRPr="00973AFD" w:rsidRDefault="00256BE9" w:rsidP="00256BE9">
            <w:pPr>
              <w:rPr>
                <w:rFonts w:ascii="Arial" w:hAnsi="Arial" w:cs="Arial"/>
                <w:sz w:val="22"/>
                <w:szCs w:val="22"/>
              </w:rPr>
            </w:pPr>
          </w:p>
        </w:tc>
        <w:tc>
          <w:tcPr>
            <w:tcW w:w="2610" w:type="dxa"/>
          </w:tcPr>
          <w:p w14:paraId="02A2904D" w14:textId="77777777" w:rsidR="00256BE9" w:rsidRPr="00973AFD" w:rsidRDefault="00256BE9" w:rsidP="00256BE9">
            <w:pPr>
              <w:rPr>
                <w:rFonts w:ascii="Arial" w:hAnsi="Arial" w:cs="Arial"/>
                <w:sz w:val="22"/>
                <w:szCs w:val="22"/>
              </w:rPr>
            </w:pPr>
          </w:p>
        </w:tc>
      </w:tr>
      <w:tr w:rsidR="00256BE9" w:rsidRPr="00973AFD" w14:paraId="629842F3" w14:textId="318694CB" w:rsidTr="00256BE9">
        <w:tc>
          <w:tcPr>
            <w:tcW w:w="1698" w:type="dxa"/>
          </w:tcPr>
          <w:p w14:paraId="13BB89FB" w14:textId="77777777" w:rsidR="00256BE9" w:rsidRPr="00973AFD" w:rsidRDefault="00256BE9" w:rsidP="00256BE9">
            <w:pPr>
              <w:rPr>
                <w:rFonts w:ascii="Arial" w:hAnsi="Arial" w:cs="Arial"/>
                <w:sz w:val="22"/>
                <w:szCs w:val="22"/>
              </w:rPr>
            </w:pPr>
          </w:p>
        </w:tc>
        <w:tc>
          <w:tcPr>
            <w:tcW w:w="2506" w:type="dxa"/>
          </w:tcPr>
          <w:p w14:paraId="1CA92CAA" w14:textId="77777777" w:rsidR="00256BE9" w:rsidRPr="00C45C35" w:rsidRDefault="00256BE9" w:rsidP="00256BE9">
            <w:pPr>
              <w:rPr>
                <w:rFonts w:ascii="Arial" w:hAnsi="Arial" w:cs="Arial"/>
                <w:color w:val="000000"/>
                <w:sz w:val="22"/>
                <w:szCs w:val="22"/>
              </w:rPr>
            </w:pPr>
          </w:p>
        </w:tc>
        <w:tc>
          <w:tcPr>
            <w:tcW w:w="2631" w:type="dxa"/>
          </w:tcPr>
          <w:p w14:paraId="49A57E16" w14:textId="13C6CD53" w:rsidR="00256BE9" w:rsidRPr="00973AFD" w:rsidRDefault="00256BE9" w:rsidP="00256BE9">
            <w:pPr>
              <w:rPr>
                <w:rFonts w:ascii="Arial" w:hAnsi="Arial" w:cs="Arial"/>
                <w:sz w:val="22"/>
                <w:szCs w:val="22"/>
              </w:rPr>
            </w:pPr>
            <w:r w:rsidRPr="00973AFD">
              <w:rPr>
                <w:rStyle w:val="markedcontent"/>
                <w:rFonts w:ascii="Arial" w:hAnsi="Arial" w:cs="Arial"/>
                <w:sz w:val="22"/>
                <w:szCs w:val="22"/>
                <w:u w:val="single"/>
              </w:rPr>
              <w:t>Principle #7</w:t>
            </w:r>
            <w:r w:rsidRPr="00973AFD">
              <w:rPr>
                <w:rStyle w:val="markedcontent"/>
                <w:rFonts w:ascii="Arial" w:hAnsi="Arial" w:cs="Arial"/>
                <w:sz w:val="22"/>
                <w:szCs w:val="22"/>
              </w:rPr>
              <w:t xml:space="preserve">: No utilization review entity should require patients to repeat step therapy protocols or retry </w:t>
            </w:r>
            <w:r w:rsidRPr="00973AFD">
              <w:rPr>
                <w:rStyle w:val="markedcontent"/>
                <w:rFonts w:ascii="Arial" w:hAnsi="Arial" w:cs="Arial"/>
                <w:sz w:val="22"/>
                <w:szCs w:val="22"/>
              </w:rPr>
              <w:lastRenderedPageBreak/>
              <w:t xml:space="preserve">therapies failed under other benefit plans before qualifying for coverage of a current effective therapy. </w:t>
            </w:r>
          </w:p>
          <w:p w14:paraId="21233E5E" w14:textId="77777777" w:rsidR="00256BE9" w:rsidRPr="00973AFD" w:rsidRDefault="00256BE9" w:rsidP="00256BE9">
            <w:pPr>
              <w:rPr>
                <w:rStyle w:val="markedcontent"/>
                <w:rFonts w:ascii="Arial" w:hAnsi="Arial" w:cs="Arial"/>
                <w:sz w:val="22"/>
                <w:szCs w:val="22"/>
                <w:u w:val="single"/>
              </w:rPr>
            </w:pPr>
          </w:p>
        </w:tc>
        <w:tc>
          <w:tcPr>
            <w:tcW w:w="2430" w:type="dxa"/>
          </w:tcPr>
          <w:p w14:paraId="2BABB26D" w14:textId="77777777" w:rsidR="00256BE9" w:rsidRPr="00973AFD" w:rsidRDefault="00256BE9" w:rsidP="00256BE9">
            <w:pPr>
              <w:rPr>
                <w:rFonts w:ascii="Arial" w:hAnsi="Arial" w:cs="Arial"/>
                <w:sz w:val="22"/>
                <w:szCs w:val="22"/>
              </w:rPr>
            </w:pPr>
          </w:p>
        </w:tc>
        <w:tc>
          <w:tcPr>
            <w:tcW w:w="2430" w:type="dxa"/>
          </w:tcPr>
          <w:p w14:paraId="286D1C38" w14:textId="4D575D86" w:rsidR="00256BE9" w:rsidRPr="00973AFD" w:rsidRDefault="00256BE9" w:rsidP="00256BE9">
            <w:pPr>
              <w:rPr>
                <w:rFonts w:ascii="Arial" w:hAnsi="Arial" w:cs="Arial"/>
                <w:sz w:val="22"/>
                <w:szCs w:val="22"/>
              </w:rPr>
            </w:pPr>
          </w:p>
        </w:tc>
        <w:tc>
          <w:tcPr>
            <w:tcW w:w="2610" w:type="dxa"/>
          </w:tcPr>
          <w:p w14:paraId="6CBBA86A" w14:textId="77777777" w:rsidR="00256BE9" w:rsidRPr="00973AFD" w:rsidRDefault="00256BE9" w:rsidP="00256BE9">
            <w:pPr>
              <w:rPr>
                <w:rFonts w:ascii="Arial" w:hAnsi="Arial" w:cs="Arial"/>
                <w:sz w:val="22"/>
                <w:szCs w:val="22"/>
              </w:rPr>
            </w:pPr>
          </w:p>
        </w:tc>
        <w:tc>
          <w:tcPr>
            <w:tcW w:w="2610" w:type="dxa"/>
          </w:tcPr>
          <w:p w14:paraId="1306F9C8" w14:textId="77777777" w:rsidR="00256BE9" w:rsidRPr="00973AFD" w:rsidRDefault="00256BE9" w:rsidP="00256BE9">
            <w:pPr>
              <w:rPr>
                <w:rFonts w:ascii="Arial" w:hAnsi="Arial" w:cs="Arial"/>
                <w:sz w:val="22"/>
                <w:szCs w:val="22"/>
              </w:rPr>
            </w:pPr>
          </w:p>
        </w:tc>
      </w:tr>
      <w:tr w:rsidR="00256BE9" w:rsidRPr="00973AFD" w14:paraId="63748BD1" w14:textId="0DA92375" w:rsidTr="00256BE9">
        <w:tc>
          <w:tcPr>
            <w:tcW w:w="1698" w:type="dxa"/>
          </w:tcPr>
          <w:p w14:paraId="705A1AE6" w14:textId="1A323EF8" w:rsidR="00256BE9" w:rsidRPr="00973AFD" w:rsidRDefault="00256BE9" w:rsidP="00256BE9">
            <w:pPr>
              <w:rPr>
                <w:rFonts w:ascii="Arial" w:hAnsi="Arial" w:cs="Arial"/>
                <w:sz w:val="22"/>
                <w:szCs w:val="22"/>
              </w:rPr>
            </w:pPr>
            <w:r w:rsidRPr="00973AFD">
              <w:rPr>
                <w:rFonts w:ascii="Arial" w:hAnsi="Arial" w:cs="Arial"/>
                <w:sz w:val="22"/>
                <w:szCs w:val="22"/>
              </w:rPr>
              <w:t>Transparency and Fairness</w:t>
            </w:r>
          </w:p>
        </w:tc>
        <w:tc>
          <w:tcPr>
            <w:tcW w:w="2506" w:type="dxa"/>
          </w:tcPr>
          <w:p w14:paraId="44D0872C" w14:textId="3F1D2A47" w:rsidR="00256BE9" w:rsidRPr="00C45C35" w:rsidRDefault="00256BE9" w:rsidP="00256BE9">
            <w:pPr>
              <w:rPr>
                <w:rFonts w:ascii="Arial" w:hAnsi="Arial" w:cs="Arial"/>
                <w:sz w:val="22"/>
                <w:szCs w:val="22"/>
              </w:rPr>
            </w:pPr>
            <w:r w:rsidRPr="00C45C35">
              <w:rPr>
                <w:rFonts w:ascii="Arial" w:hAnsi="Arial" w:cs="Arial"/>
                <w:color w:val="000000"/>
                <w:sz w:val="22"/>
                <w:szCs w:val="22"/>
              </w:rPr>
              <w:t xml:space="preserve">PPS7: All UR/UM organizations shall provide all medical evidence-based policy information that accompanies accompanying algorithms used to manage care upon request by any licensed provider. </w:t>
            </w:r>
          </w:p>
          <w:p w14:paraId="7099D262" w14:textId="77777777" w:rsidR="00256BE9" w:rsidRPr="00C45C35" w:rsidRDefault="00256BE9" w:rsidP="00256BE9">
            <w:pPr>
              <w:rPr>
                <w:rFonts w:ascii="Arial" w:hAnsi="Arial" w:cs="Arial"/>
                <w:sz w:val="22"/>
                <w:szCs w:val="22"/>
              </w:rPr>
            </w:pPr>
          </w:p>
          <w:p w14:paraId="4BC6D0E1" w14:textId="11979512" w:rsidR="00256BE9" w:rsidRPr="00C45C35" w:rsidRDefault="00256BE9" w:rsidP="00256BE9">
            <w:pPr>
              <w:rPr>
                <w:rFonts w:ascii="Arial" w:hAnsi="Arial" w:cs="Arial"/>
                <w:sz w:val="22"/>
                <w:szCs w:val="22"/>
              </w:rPr>
            </w:pPr>
          </w:p>
        </w:tc>
        <w:tc>
          <w:tcPr>
            <w:tcW w:w="2631" w:type="dxa"/>
          </w:tcPr>
          <w:p w14:paraId="1100E7EE" w14:textId="4CBFA83E" w:rsidR="00256BE9" w:rsidRPr="00195633" w:rsidRDefault="00256BE9" w:rsidP="00256BE9">
            <w:pPr>
              <w:rPr>
                <w:rFonts w:ascii="Arial" w:hAnsi="Arial" w:cs="Arial"/>
                <w:sz w:val="22"/>
                <w:szCs w:val="22"/>
              </w:rPr>
            </w:pPr>
            <w:r w:rsidRPr="00195633">
              <w:rPr>
                <w:rStyle w:val="markedcontent"/>
                <w:rFonts w:ascii="Arial" w:hAnsi="Arial" w:cs="Arial"/>
                <w:sz w:val="22"/>
                <w:szCs w:val="22"/>
                <w:u w:val="single"/>
              </w:rPr>
              <w:t>Principle #8</w:t>
            </w:r>
            <w:r w:rsidRPr="00195633">
              <w:rPr>
                <w:rStyle w:val="markedcontent"/>
                <w:rFonts w:ascii="Arial" w:hAnsi="Arial" w:cs="Arial"/>
                <w:sz w:val="22"/>
                <w:szCs w:val="22"/>
              </w:rPr>
              <w:t xml:space="preserve">: Utilization review entities should publicly disclose, in a searchable electronic format, patient-specific utilization management requirements, including prior authorization, step therapy, and formulary restrictions with patient cost-sharing information, applied to individual drugs and medical services. Such information should be accurate and current and include an effective date in order to be relied upon by providers and patients, including prospective patients engaged in the enrollment process. Additionally, utilization review entities should clearly communicate to prescribing/ordering </w:t>
            </w:r>
            <w:r w:rsidRPr="00195633">
              <w:rPr>
                <w:rStyle w:val="markedcontent"/>
                <w:rFonts w:ascii="Arial" w:hAnsi="Arial" w:cs="Arial"/>
                <w:sz w:val="22"/>
                <w:szCs w:val="22"/>
              </w:rPr>
              <w:lastRenderedPageBreak/>
              <w:t xml:space="preserve">providers what supporting documentation is needed to complete every prior authorization and step therapy override request. </w:t>
            </w:r>
          </w:p>
          <w:p w14:paraId="25483429" w14:textId="7F1668DB" w:rsidR="00256BE9" w:rsidRPr="00973AFD" w:rsidRDefault="00256BE9" w:rsidP="00256BE9">
            <w:pPr>
              <w:rPr>
                <w:rFonts w:ascii="Arial" w:hAnsi="Arial" w:cs="Arial"/>
                <w:sz w:val="22"/>
                <w:szCs w:val="22"/>
              </w:rPr>
            </w:pPr>
          </w:p>
        </w:tc>
        <w:tc>
          <w:tcPr>
            <w:tcW w:w="2430" w:type="dxa"/>
          </w:tcPr>
          <w:p w14:paraId="20ABB4BD" w14:textId="68E1E368" w:rsidR="00256BE9" w:rsidRPr="00C12A39" w:rsidRDefault="00256BE9" w:rsidP="00256BE9">
            <w:pPr>
              <w:rPr>
                <w:rFonts w:ascii="Arial" w:hAnsi="Arial" w:cs="Arial"/>
                <w:sz w:val="22"/>
                <w:szCs w:val="22"/>
              </w:rPr>
            </w:pPr>
          </w:p>
        </w:tc>
        <w:tc>
          <w:tcPr>
            <w:tcW w:w="2430" w:type="dxa"/>
          </w:tcPr>
          <w:p w14:paraId="433D5976" w14:textId="74E8C3C8" w:rsidR="00256BE9" w:rsidRPr="00973AFD" w:rsidRDefault="00256BE9" w:rsidP="00256BE9">
            <w:pPr>
              <w:rPr>
                <w:rFonts w:ascii="Arial" w:hAnsi="Arial" w:cs="Arial"/>
                <w:sz w:val="22"/>
                <w:szCs w:val="22"/>
              </w:rPr>
            </w:pPr>
            <w:r w:rsidRPr="00C12A39">
              <w:rPr>
                <w:rFonts w:ascii="Arial" w:hAnsi="Arial" w:cs="Arial"/>
                <w:sz w:val="22"/>
                <w:szCs w:val="22"/>
              </w:rPr>
              <w:t xml:space="preserve">system and algorithms used, including research citations and references of the most recent revisions to date, are made available for download on the managed care organization’s provider internet website.  </w:t>
            </w:r>
          </w:p>
        </w:tc>
        <w:tc>
          <w:tcPr>
            <w:tcW w:w="2610" w:type="dxa"/>
          </w:tcPr>
          <w:p w14:paraId="7C7DA8BB" w14:textId="77777777" w:rsidR="00256BE9" w:rsidRPr="006C0DBC" w:rsidRDefault="00256BE9" w:rsidP="00256BE9">
            <w:pPr>
              <w:rPr>
                <w:rFonts w:ascii="Arial" w:hAnsi="Arial" w:cs="Arial"/>
                <w:sz w:val="22"/>
                <w:szCs w:val="22"/>
              </w:rPr>
            </w:pPr>
          </w:p>
        </w:tc>
        <w:tc>
          <w:tcPr>
            <w:tcW w:w="2610" w:type="dxa"/>
          </w:tcPr>
          <w:p w14:paraId="2CC20304" w14:textId="77777777" w:rsidR="00256BE9" w:rsidRPr="006C0DBC" w:rsidRDefault="00256BE9" w:rsidP="00256BE9">
            <w:pPr>
              <w:rPr>
                <w:rFonts w:ascii="Arial" w:hAnsi="Arial" w:cs="Arial"/>
                <w:sz w:val="22"/>
                <w:szCs w:val="22"/>
              </w:rPr>
            </w:pPr>
          </w:p>
        </w:tc>
      </w:tr>
      <w:tr w:rsidR="00256BE9" w:rsidRPr="00973AFD" w14:paraId="0FFBDEAB" w14:textId="29FA7D2E" w:rsidTr="00256BE9">
        <w:tc>
          <w:tcPr>
            <w:tcW w:w="1698" w:type="dxa"/>
          </w:tcPr>
          <w:p w14:paraId="528AFA47" w14:textId="77777777" w:rsidR="00256BE9" w:rsidRPr="00973AFD" w:rsidRDefault="00256BE9" w:rsidP="00256BE9">
            <w:pPr>
              <w:rPr>
                <w:rStyle w:val="markedcontent"/>
                <w:rFonts w:ascii="Arial" w:hAnsi="Arial" w:cs="Arial"/>
                <w:sz w:val="22"/>
                <w:szCs w:val="22"/>
              </w:rPr>
            </w:pPr>
          </w:p>
        </w:tc>
        <w:tc>
          <w:tcPr>
            <w:tcW w:w="2506" w:type="dxa"/>
          </w:tcPr>
          <w:p w14:paraId="38B06789" w14:textId="77777777" w:rsidR="00256BE9" w:rsidRPr="00C45C35" w:rsidRDefault="00256BE9" w:rsidP="00256BE9">
            <w:pPr>
              <w:rPr>
                <w:rFonts w:ascii="Arial" w:hAnsi="Arial" w:cs="Arial"/>
                <w:color w:val="000000"/>
                <w:sz w:val="22"/>
                <w:szCs w:val="22"/>
              </w:rPr>
            </w:pPr>
          </w:p>
        </w:tc>
        <w:tc>
          <w:tcPr>
            <w:tcW w:w="2631" w:type="dxa"/>
          </w:tcPr>
          <w:p w14:paraId="5A245383" w14:textId="6FA62A1D"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#9: Utilization review entities should provide, and vendors should display, accurate, patient-specific, and up-to-date formularies that include prior authorization and step therapy requirements in electronic health record (EHR) systems for purposes that include e-prescribing. </w:t>
            </w:r>
          </w:p>
          <w:p w14:paraId="6280C244" w14:textId="77777777" w:rsidR="00256BE9" w:rsidRDefault="00256BE9" w:rsidP="00256BE9">
            <w:pPr>
              <w:rPr>
                <w:rStyle w:val="markedcontent"/>
                <w:rFonts w:ascii="Arial" w:hAnsi="Arial" w:cs="Arial"/>
                <w:sz w:val="22"/>
                <w:szCs w:val="22"/>
              </w:rPr>
            </w:pPr>
          </w:p>
        </w:tc>
        <w:tc>
          <w:tcPr>
            <w:tcW w:w="2430" w:type="dxa"/>
          </w:tcPr>
          <w:p w14:paraId="46C5500F" w14:textId="77777777" w:rsidR="00256BE9" w:rsidRPr="00973AFD" w:rsidRDefault="00256BE9" w:rsidP="00256BE9">
            <w:pPr>
              <w:rPr>
                <w:rFonts w:ascii="Arial" w:hAnsi="Arial" w:cs="Arial"/>
                <w:sz w:val="22"/>
                <w:szCs w:val="22"/>
              </w:rPr>
            </w:pPr>
          </w:p>
        </w:tc>
        <w:tc>
          <w:tcPr>
            <w:tcW w:w="2430" w:type="dxa"/>
          </w:tcPr>
          <w:p w14:paraId="78EACA76" w14:textId="76416B7B" w:rsidR="00256BE9" w:rsidRPr="00973AFD" w:rsidRDefault="00256BE9" w:rsidP="00256BE9">
            <w:pPr>
              <w:rPr>
                <w:rFonts w:ascii="Arial" w:hAnsi="Arial" w:cs="Arial"/>
                <w:sz w:val="22"/>
                <w:szCs w:val="22"/>
              </w:rPr>
            </w:pPr>
          </w:p>
        </w:tc>
        <w:tc>
          <w:tcPr>
            <w:tcW w:w="2610" w:type="dxa"/>
          </w:tcPr>
          <w:p w14:paraId="6B77277E" w14:textId="77777777" w:rsidR="00256BE9" w:rsidRPr="00973AFD" w:rsidRDefault="00256BE9" w:rsidP="00256BE9">
            <w:pPr>
              <w:rPr>
                <w:rFonts w:ascii="Arial" w:hAnsi="Arial" w:cs="Arial"/>
                <w:sz w:val="22"/>
                <w:szCs w:val="22"/>
              </w:rPr>
            </w:pPr>
          </w:p>
        </w:tc>
        <w:tc>
          <w:tcPr>
            <w:tcW w:w="2610" w:type="dxa"/>
          </w:tcPr>
          <w:p w14:paraId="09A1278E" w14:textId="77777777" w:rsidR="00256BE9" w:rsidRPr="00973AFD" w:rsidRDefault="00256BE9" w:rsidP="00256BE9">
            <w:pPr>
              <w:rPr>
                <w:rFonts w:ascii="Arial" w:hAnsi="Arial" w:cs="Arial"/>
                <w:sz w:val="22"/>
                <w:szCs w:val="22"/>
              </w:rPr>
            </w:pPr>
          </w:p>
        </w:tc>
      </w:tr>
      <w:tr w:rsidR="00256BE9" w:rsidRPr="00973AFD" w14:paraId="7EF1C91B" w14:textId="06771DE6" w:rsidTr="00256BE9">
        <w:tc>
          <w:tcPr>
            <w:tcW w:w="1698" w:type="dxa"/>
          </w:tcPr>
          <w:p w14:paraId="59BB2A47" w14:textId="77777777" w:rsidR="00256BE9" w:rsidRPr="00973AFD" w:rsidRDefault="00256BE9" w:rsidP="00256BE9">
            <w:pPr>
              <w:rPr>
                <w:rStyle w:val="markedcontent"/>
                <w:rFonts w:ascii="Arial" w:hAnsi="Arial" w:cs="Arial"/>
                <w:sz w:val="22"/>
                <w:szCs w:val="22"/>
              </w:rPr>
            </w:pPr>
          </w:p>
        </w:tc>
        <w:tc>
          <w:tcPr>
            <w:tcW w:w="2506" w:type="dxa"/>
          </w:tcPr>
          <w:p w14:paraId="7C51D5CF" w14:textId="77777777" w:rsidR="00256BE9" w:rsidRPr="00C45C35" w:rsidRDefault="00256BE9" w:rsidP="00256BE9">
            <w:pPr>
              <w:rPr>
                <w:rFonts w:ascii="Arial" w:hAnsi="Arial" w:cs="Arial"/>
                <w:color w:val="000000"/>
                <w:sz w:val="22"/>
                <w:szCs w:val="22"/>
              </w:rPr>
            </w:pPr>
          </w:p>
        </w:tc>
        <w:tc>
          <w:tcPr>
            <w:tcW w:w="2631" w:type="dxa"/>
          </w:tcPr>
          <w:p w14:paraId="17E9ABA8"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 xml:space="preserve">Principle #10: Utilization review entities should make statistics regarding prior authorization approval and denial rates available on their website (or another publicly available website) in a readily </w:t>
            </w:r>
            <w:r w:rsidRPr="00973AFD">
              <w:rPr>
                <w:rStyle w:val="markedcontent"/>
                <w:rFonts w:ascii="Arial" w:hAnsi="Arial" w:cs="Arial"/>
                <w:sz w:val="22"/>
                <w:szCs w:val="22"/>
              </w:rPr>
              <w:lastRenderedPageBreak/>
              <w:t xml:space="preserve">accessible format. The statistics shall include but are not limited to the following categories related to prior authorization requests: </w:t>
            </w:r>
            <w:r w:rsidRPr="00973AFD">
              <w:rPr>
                <w:rFonts w:ascii="Arial" w:hAnsi="Arial" w:cs="Arial"/>
                <w:sz w:val="22"/>
                <w:szCs w:val="22"/>
              </w:rPr>
              <w:br/>
            </w:r>
            <w:r w:rsidRPr="00973AFD">
              <w:rPr>
                <w:rStyle w:val="markedcontent"/>
                <w:rFonts w:ascii="Arial" w:hAnsi="Arial" w:cs="Arial"/>
                <w:sz w:val="22"/>
                <w:szCs w:val="22"/>
              </w:rPr>
              <w:tab/>
            </w:r>
            <w:proofErr w:type="spellStart"/>
            <w:r w:rsidRPr="00973AFD">
              <w:rPr>
                <w:rStyle w:val="markedcontent"/>
                <w:rFonts w:ascii="Arial" w:hAnsi="Arial" w:cs="Arial"/>
                <w:sz w:val="22"/>
                <w:szCs w:val="22"/>
              </w:rPr>
              <w:t>i</w:t>
            </w:r>
            <w:proofErr w:type="spellEnd"/>
            <w:r w:rsidRPr="00973AFD">
              <w:rPr>
                <w:rStyle w:val="markedcontent"/>
                <w:rFonts w:ascii="Arial" w:hAnsi="Arial" w:cs="Arial"/>
                <w:sz w:val="22"/>
                <w:szCs w:val="22"/>
              </w:rPr>
              <w:t xml:space="preserve">. Health care provider type/specialty; </w:t>
            </w:r>
          </w:p>
          <w:p w14:paraId="7A6B1130"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ab/>
              <w:t xml:space="preserve">ii. Medication, diagnostic test or </w:t>
            </w:r>
            <w:r>
              <w:rPr>
                <w:rStyle w:val="markedcontent"/>
                <w:rFonts w:ascii="Arial" w:hAnsi="Arial" w:cs="Arial"/>
                <w:sz w:val="22"/>
                <w:szCs w:val="22"/>
              </w:rPr>
              <w:br/>
            </w:r>
            <w:r>
              <w:rPr>
                <w:rStyle w:val="markedcontent"/>
                <w:rFonts w:ascii="Arial" w:hAnsi="Arial" w:cs="Arial"/>
                <w:sz w:val="22"/>
                <w:szCs w:val="22"/>
              </w:rPr>
              <w:tab/>
              <w:t xml:space="preserve">    </w:t>
            </w:r>
            <w:r w:rsidRPr="00973AFD">
              <w:rPr>
                <w:rStyle w:val="markedcontent"/>
                <w:rFonts w:ascii="Arial" w:hAnsi="Arial" w:cs="Arial"/>
                <w:sz w:val="22"/>
                <w:szCs w:val="22"/>
              </w:rPr>
              <w:t xml:space="preserve">procedure; </w:t>
            </w:r>
          </w:p>
          <w:p w14:paraId="787F5160"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ab/>
              <w:t xml:space="preserve">iii. Indication; </w:t>
            </w:r>
          </w:p>
          <w:p w14:paraId="4761C24A"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ab/>
              <w:t>iv. Total annual prior authorization</w:t>
            </w:r>
            <w:r>
              <w:rPr>
                <w:rStyle w:val="markedcontent"/>
                <w:rFonts w:ascii="Arial" w:hAnsi="Arial" w:cs="Arial"/>
                <w:sz w:val="22"/>
                <w:szCs w:val="22"/>
              </w:rPr>
              <w:br/>
            </w:r>
            <w:r>
              <w:rPr>
                <w:rStyle w:val="markedcontent"/>
                <w:rFonts w:ascii="Arial" w:hAnsi="Arial" w:cs="Arial"/>
                <w:sz w:val="22"/>
                <w:szCs w:val="22"/>
              </w:rPr>
              <w:tab/>
              <w:t xml:space="preserve">    </w:t>
            </w:r>
            <w:r w:rsidRPr="00973AFD">
              <w:rPr>
                <w:rStyle w:val="markedcontent"/>
                <w:rFonts w:ascii="Arial" w:hAnsi="Arial" w:cs="Arial"/>
                <w:sz w:val="22"/>
                <w:szCs w:val="22"/>
              </w:rPr>
              <w:t xml:space="preserve"> requests, approvals and denials; </w:t>
            </w:r>
          </w:p>
          <w:p w14:paraId="0C6778D0" w14:textId="77777777" w:rsidR="00256BE9" w:rsidRPr="00973AFD" w:rsidRDefault="00256BE9" w:rsidP="00256BE9">
            <w:pPr>
              <w:ind w:left="712" w:hanging="712"/>
              <w:rPr>
                <w:rStyle w:val="markedcontent"/>
                <w:rFonts w:ascii="Arial" w:hAnsi="Arial" w:cs="Arial"/>
                <w:sz w:val="22"/>
                <w:szCs w:val="22"/>
              </w:rPr>
            </w:pPr>
            <w:r w:rsidRPr="00973AFD">
              <w:rPr>
                <w:rStyle w:val="markedcontent"/>
                <w:rFonts w:ascii="Arial" w:hAnsi="Arial" w:cs="Arial"/>
                <w:sz w:val="22"/>
                <w:szCs w:val="22"/>
              </w:rPr>
              <w:tab/>
              <w:t>v. Reasons for denial such as, but not</w:t>
            </w:r>
            <w:r>
              <w:rPr>
                <w:rStyle w:val="markedcontent"/>
                <w:rFonts w:ascii="Arial" w:hAnsi="Arial" w:cs="Arial"/>
                <w:sz w:val="22"/>
                <w:szCs w:val="22"/>
              </w:rPr>
              <w:br/>
            </w:r>
            <w:r>
              <w:rPr>
                <w:rStyle w:val="markedcontent"/>
                <w:rFonts w:ascii="Arial" w:hAnsi="Arial" w:cs="Arial"/>
                <w:sz w:val="22"/>
                <w:szCs w:val="22"/>
              </w:rPr>
              <w:tab/>
              <w:t xml:space="preserve">    </w:t>
            </w:r>
            <w:r w:rsidRPr="00973AFD">
              <w:rPr>
                <w:rStyle w:val="markedcontent"/>
                <w:rFonts w:ascii="Arial" w:hAnsi="Arial" w:cs="Arial"/>
                <w:sz w:val="22"/>
                <w:szCs w:val="22"/>
              </w:rPr>
              <w:t xml:space="preserve">limited to, medical necessity or </w:t>
            </w:r>
            <w:r>
              <w:rPr>
                <w:rStyle w:val="markedcontent"/>
                <w:rFonts w:ascii="Arial" w:hAnsi="Arial" w:cs="Arial"/>
                <w:sz w:val="22"/>
                <w:szCs w:val="22"/>
              </w:rPr>
              <w:br/>
              <w:t xml:space="preserve">    </w:t>
            </w:r>
            <w:r w:rsidRPr="00973AFD">
              <w:rPr>
                <w:rStyle w:val="markedcontent"/>
                <w:rFonts w:ascii="Arial" w:hAnsi="Arial" w:cs="Arial"/>
                <w:sz w:val="22"/>
                <w:szCs w:val="22"/>
              </w:rPr>
              <w:t>incomplete prior authorization</w:t>
            </w:r>
            <w:r>
              <w:rPr>
                <w:rStyle w:val="markedcontent"/>
                <w:rFonts w:ascii="Arial" w:hAnsi="Arial" w:cs="Arial"/>
                <w:sz w:val="22"/>
                <w:szCs w:val="22"/>
              </w:rPr>
              <w:br/>
              <w:t xml:space="preserve">   </w:t>
            </w:r>
            <w:r w:rsidRPr="00973AFD">
              <w:rPr>
                <w:rStyle w:val="markedcontent"/>
                <w:rFonts w:ascii="Arial" w:hAnsi="Arial" w:cs="Arial"/>
                <w:sz w:val="22"/>
                <w:szCs w:val="22"/>
              </w:rPr>
              <w:t xml:space="preserve"> submission; and</w:t>
            </w:r>
          </w:p>
          <w:p w14:paraId="78927490" w14:textId="77777777"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ab/>
              <w:t xml:space="preserve">vi. Denials overturned upon appeal. </w:t>
            </w:r>
          </w:p>
          <w:p w14:paraId="6E18BF68" w14:textId="54AA8156"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These data should inform efforts to refine and improve utilization management programs. </w:t>
            </w:r>
          </w:p>
          <w:p w14:paraId="6A84553E" w14:textId="77777777" w:rsidR="00256BE9" w:rsidRDefault="00256BE9" w:rsidP="00256BE9">
            <w:pPr>
              <w:rPr>
                <w:rStyle w:val="markedcontent"/>
                <w:rFonts w:ascii="Arial" w:hAnsi="Arial" w:cs="Arial"/>
                <w:sz w:val="22"/>
                <w:szCs w:val="22"/>
              </w:rPr>
            </w:pPr>
          </w:p>
        </w:tc>
        <w:tc>
          <w:tcPr>
            <w:tcW w:w="2430" w:type="dxa"/>
          </w:tcPr>
          <w:p w14:paraId="1A9649F0" w14:textId="77777777" w:rsidR="00256BE9" w:rsidRPr="00973AFD" w:rsidRDefault="00256BE9" w:rsidP="00256BE9">
            <w:pPr>
              <w:rPr>
                <w:rFonts w:ascii="Arial" w:hAnsi="Arial" w:cs="Arial"/>
                <w:sz w:val="22"/>
                <w:szCs w:val="22"/>
              </w:rPr>
            </w:pPr>
          </w:p>
        </w:tc>
        <w:tc>
          <w:tcPr>
            <w:tcW w:w="2430" w:type="dxa"/>
          </w:tcPr>
          <w:p w14:paraId="7CB01F10" w14:textId="1A9D2B64" w:rsidR="00256BE9" w:rsidRPr="00973AFD" w:rsidRDefault="00256BE9" w:rsidP="00256BE9">
            <w:pPr>
              <w:rPr>
                <w:rFonts w:ascii="Arial" w:hAnsi="Arial" w:cs="Arial"/>
                <w:sz w:val="22"/>
                <w:szCs w:val="22"/>
              </w:rPr>
            </w:pPr>
          </w:p>
        </w:tc>
        <w:tc>
          <w:tcPr>
            <w:tcW w:w="2610" w:type="dxa"/>
          </w:tcPr>
          <w:p w14:paraId="22B3A280" w14:textId="77777777" w:rsidR="00256BE9" w:rsidRPr="00973AFD" w:rsidRDefault="00256BE9" w:rsidP="00256BE9">
            <w:pPr>
              <w:rPr>
                <w:rFonts w:ascii="Arial" w:hAnsi="Arial" w:cs="Arial"/>
                <w:sz w:val="22"/>
                <w:szCs w:val="22"/>
              </w:rPr>
            </w:pPr>
          </w:p>
        </w:tc>
        <w:tc>
          <w:tcPr>
            <w:tcW w:w="2610" w:type="dxa"/>
          </w:tcPr>
          <w:p w14:paraId="22C2B395" w14:textId="77777777" w:rsidR="00256BE9" w:rsidRPr="00973AFD" w:rsidRDefault="00256BE9" w:rsidP="00256BE9">
            <w:pPr>
              <w:rPr>
                <w:rFonts w:ascii="Arial" w:hAnsi="Arial" w:cs="Arial"/>
                <w:sz w:val="22"/>
                <w:szCs w:val="22"/>
              </w:rPr>
            </w:pPr>
          </w:p>
        </w:tc>
      </w:tr>
      <w:tr w:rsidR="00256BE9" w:rsidRPr="00973AFD" w14:paraId="6E46D19B" w14:textId="2270295B" w:rsidTr="00256BE9">
        <w:tc>
          <w:tcPr>
            <w:tcW w:w="1698" w:type="dxa"/>
          </w:tcPr>
          <w:p w14:paraId="794205D1" w14:textId="77777777" w:rsidR="00256BE9" w:rsidRPr="00973AFD" w:rsidRDefault="00256BE9" w:rsidP="00256BE9">
            <w:pPr>
              <w:rPr>
                <w:rStyle w:val="markedcontent"/>
                <w:rFonts w:ascii="Arial" w:hAnsi="Arial" w:cs="Arial"/>
                <w:sz w:val="22"/>
                <w:szCs w:val="22"/>
              </w:rPr>
            </w:pPr>
          </w:p>
        </w:tc>
        <w:tc>
          <w:tcPr>
            <w:tcW w:w="2506" w:type="dxa"/>
          </w:tcPr>
          <w:p w14:paraId="462D328A" w14:textId="77777777" w:rsidR="00256BE9" w:rsidRPr="00C45C35" w:rsidRDefault="00256BE9" w:rsidP="00256BE9">
            <w:pPr>
              <w:rPr>
                <w:rFonts w:ascii="Arial" w:hAnsi="Arial" w:cs="Arial"/>
                <w:sz w:val="22"/>
                <w:szCs w:val="22"/>
              </w:rPr>
            </w:pPr>
            <w:r w:rsidRPr="00C45C35">
              <w:rPr>
                <w:rFonts w:ascii="Arial" w:hAnsi="Arial" w:cs="Arial"/>
                <w:sz w:val="22"/>
                <w:szCs w:val="22"/>
              </w:rPr>
              <w:t xml:space="preserve">PPS6: </w:t>
            </w:r>
            <w:r w:rsidRPr="00C45C35">
              <w:rPr>
                <w:rFonts w:ascii="Arial" w:hAnsi="Arial" w:cs="Arial"/>
                <w:color w:val="000000"/>
                <w:sz w:val="22"/>
                <w:szCs w:val="22"/>
              </w:rPr>
              <w:t xml:space="preserve">Any denial or reduction in services must shall reference applicable payer policy, and also include an explanation for the denial, and must be produced to both the provider and the patient.   </w:t>
            </w:r>
          </w:p>
          <w:p w14:paraId="74E62E11" w14:textId="77777777" w:rsidR="00256BE9" w:rsidRPr="00C45C35" w:rsidRDefault="00256BE9" w:rsidP="00256BE9">
            <w:pPr>
              <w:rPr>
                <w:rFonts w:ascii="Arial" w:hAnsi="Arial" w:cs="Arial"/>
                <w:color w:val="000000"/>
                <w:sz w:val="22"/>
                <w:szCs w:val="22"/>
              </w:rPr>
            </w:pPr>
          </w:p>
        </w:tc>
        <w:tc>
          <w:tcPr>
            <w:tcW w:w="2631" w:type="dxa"/>
          </w:tcPr>
          <w:p w14:paraId="37A9D078" w14:textId="48E4ED73"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#11: Utilization review entities should provide detailed explanations for prior authorization or step therapy override denials, including an indication of any missing information. </w:t>
            </w:r>
          </w:p>
          <w:p w14:paraId="3D8227DB" w14:textId="77777777" w:rsidR="00256BE9" w:rsidRDefault="00256BE9" w:rsidP="00256BE9">
            <w:pPr>
              <w:rPr>
                <w:rStyle w:val="markedcontent"/>
                <w:rFonts w:ascii="Arial" w:hAnsi="Arial" w:cs="Arial"/>
                <w:sz w:val="22"/>
                <w:szCs w:val="22"/>
              </w:rPr>
            </w:pPr>
          </w:p>
        </w:tc>
        <w:tc>
          <w:tcPr>
            <w:tcW w:w="2430" w:type="dxa"/>
          </w:tcPr>
          <w:p w14:paraId="7FD79FB8" w14:textId="77777777" w:rsidR="00256BE9" w:rsidRPr="00973AFD" w:rsidRDefault="00256BE9" w:rsidP="00256BE9">
            <w:pPr>
              <w:rPr>
                <w:rFonts w:ascii="Arial" w:hAnsi="Arial" w:cs="Arial"/>
                <w:sz w:val="22"/>
                <w:szCs w:val="22"/>
              </w:rPr>
            </w:pPr>
          </w:p>
        </w:tc>
        <w:tc>
          <w:tcPr>
            <w:tcW w:w="2430" w:type="dxa"/>
          </w:tcPr>
          <w:p w14:paraId="48172310" w14:textId="129F2EEB" w:rsidR="00256BE9" w:rsidRPr="00973AFD" w:rsidRDefault="00256BE9" w:rsidP="00256BE9">
            <w:pPr>
              <w:rPr>
                <w:rFonts w:ascii="Arial" w:hAnsi="Arial" w:cs="Arial"/>
                <w:sz w:val="22"/>
                <w:szCs w:val="22"/>
              </w:rPr>
            </w:pPr>
          </w:p>
        </w:tc>
        <w:tc>
          <w:tcPr>
            <w:tcW w:w="2610" w:type="dxa"/>
          </w:tcPr>
          <w:p w14:paraId="6F69399E" w14:textId="64523DBA" w:rsidR="00256BE9" w:rsidRPr="00973AFD" w:rsidRDefault="00256BE9" w:rsidP="00256BE9">
            <w:pPr>
              <w:rPr>
                <w:rFonts w:ascii="Arial" w:hAnsi="Arial" w:cs="Arial"/>
                <w:sz w:val="22"/>
                <w:szCs w:val="22"/>
              </w:rPr>
            </w:pPr>
            <w:r w:rsidRPr="00581D1A">
              <w:rPr>
                <w:rFonts w:ascii="Arial" w:hAnsi="Arial" w:cs="Arial"/>
                <w:sz w:val="22"/>
                <w:szCs w:val="22"/>
              </w:rPr>
              <w:t>33-46-4</w:t>
            </w:r>
            <w:r>
              <w:rPr>
                <w:rFonts w:ascii="Arial" w:hAnsi="Arial" w:cs="Arial"/>
                <w:sz w:val="22"/>
                <w:szCs w:val="22"/>
              </w:rPr>
              <w:t xml:space="preserve"> (18) </w:t>
            </w:r>
            <w:r w:rsidRPr="00581D1A">
              <w:rPr>
                <w:rFonts w:ascii="Arial" w:hAnsi="Arial" w:cs="Arial"/>
                <w:sz w:val="22"/>
                <w:szCs w:val="22"/>
              </w:rPr>
              <w:t>'Prior authorization' means any written or oral determination made at any time by</w:t>
            </w:r>
            <w:r>
              <w:rPr>
                <w:rFonts w:ascii="Arial" w:hAnsi="Arial" w:cs="Arial"/>
                <w:sz w:val="22"/>
                <w:szCs w:val="22"/>
              </w:rPr>
              <w:t xml:space="preserve"> </w:t>
            </w:r>
            <w:r w:rsidRPr="00581D1A">
              <w:rPr>
                <w:rFonts w:ascii="Arial" w:hAnsi="Arial" w:cs="Arial"/>
                <w:sz w:val="22"/>
                <w:szCs w:val="22"/>
              </w:rPr>
              <w:t>a claim administrator or an insurer, or any agent thereof, that a covered person's receipt</w:t>
            </w:r>
            <w:r>
              <w:rPr>
                <w:rFonts w:ascii="Arial" w:hAnsi="Arial" w:cs="Arial"/>
                <w:sz w:val="22"/>
                <w:szCs w:val="22"/>
              </w:rPr>
              <w:t xml:space="preserve"> </w:t>
            </w:r>
            <w:r w:rsidRPr="00581D1A">
              <w:rPr>
                <w:rFonts w:ascii="Arial" w:hAnsi="Arial" w:cs="Arial"/>
                <w:sz w:val="22"/>
                <w:szCs w:val="22"/>
              </w:rPr>
              <w:t>of healthcare services is a covered benefit under the applicable plan and that any</w:t>
            </w:r>
            <w:r>
              <w:rPr>
                <w:rFonts w:ascii="Arial" w:hAnsi="Arial" w:cs="Arial"/>
                <w:sz w:val="22"/>
                <w:szCs w:val="22"/>
              </w:rPr>
              <w:t xml:space="preserve"> </w:t>
            </w:r>
            <w:r w:rsidRPr="00581D1A">
              <w:rPr>
                <w:rFonts w:ascii="Arial" w:hAnsi="Arial" w:cs="Arial"/>
                <w:sz w:val="22"/>
                <w:szCs w:val="22"/>
              </w:rPr>
              <w:t>requirement of medical necessity or other requirements imposed by such plan as</w:t>
            </w:r>
          </w:p>
        </w:tc>
        <w:tc>
          <w:tcPr>
            <w:tcW w:w="2610" w:type="dxa"/>
          </w:tcPr>
          <w:p w14:paraId="43EF53D0" w14:textId="77777777" w:rsidR="00256BE9" w:rsidRPr="00581D1A" w:rsidRDefault="00256BE9" w:rsidP="00256BE9">
            <w:pPr>
              <w:rPr>
                <w:rFonts w:ascii="Arial" w:hAnsi="Arial" w:cs="Arial"/>
                <w:sz w:val="22"/>
                <w:szCs w:val="22"/>
              </w:rPr>
            </w:pPr>
          </w:p>
        </w:tc>
      </w:tr>
      <w:tr w:rsidR="00256BE9" w:rsidRPr="00973AFD" w14:paraId="5F03C0E1" w14:textId="4F6F1E8A" w:rsidTr="00256BE9">
        <w:tc>
          <w:tcPr>
            <w:tcW w:w="1698" w:type="dxa"/>
          </w:tcPr>
          <w:p w14:paraId="60EF6612" w14:textId="77777777" w:rsidR="00256BE9" w:rsidRPr="00973AFD" w:rsidRDefault="00256BE9" w:rsidP="00256BE9">
            <w:pPr>
              <w:rPr>
                <w:rStyle w:val="markedcontent"/>
                <w:rFonts w:ascii="Arial" w:hAnsi="Arial" w:cs="Arial"/>
                <w:sz w:val="22"/>
                <w:szCs w:val="22"/>
              </w:rPr>
            </w:pPr>
          </w:p>
        </w:tc>
        <w:tc>
          <w:tcPr>
            <w:tcW w:w="2506" w:type="dxa"/>
          </w:tcPr>
          <w:p w14:paraId="5B2BA4A4" w14:textId="77777777" w:rsidR="00256BE9" w:rsidRPr="00C45C35" w:rsidRDefault="00256BE9" w:rsidP="00256BE9">
            <w:pPr>
              <w:rPr>
                <w:rFonts w:ascii="Arial" w:hAnsi="Arial" w:cs="Arial"/>
                <w:sz w:val="22"/>
                <w:szCs w:val="22"/>
              </w:rPr>
            </w:pPr>
          </w:p>
        </w:tc>
        <w:tc>
          <w:tcPr>
            <w:tcW w:w="2631" w:type="dxa"/>
          </w:tcPr>
          <w:p w14:paraId="34581B32" w14:textId="77777777" w:rsidR="00256BE9" w:rsidRPr="00973AFD" w:rsidRDefault="00256BE9" w:rsidP="00256BE9">
            <w:pPr>
              <w:rPr>
                <w:rStyle w:val="markedcontent"/>
                <w:rFonts w:ascii="Arial" w:hAnsi="Arial" w:cs="Arial"/>
                <w:sz w:val="22"/>
                <w:szCs w:val="22"/>
              </w:rPr>
            </w:pPr>
          </w:p>
        </w:tc>
        <w:tc>
          <w:tcPr>
            <w:tcW w:w="2430" w:type="dxa"/>
          </w:tcPr>
          <w:p w14:paraId="30A8D7F8" w14:textId="77777777" w:rsidR="00256BE9" w:rsidRPr="00973AFD" w:rsidRDefault="00256BE9" w:rsidP="00256BE9">
            <w:pPr>
              <w:rPr>
                <w:rFonts w:ascii="Arial" w:hAnsi="Arial" w:cs="Arial"/>
                <w:sz w:val="22"/>
                <w:szCs w:val="22"/>
              </w:rPr>
            </w:pPr>
          </w:p>
        </w:tc>
        <w:tc>
          <w:tcPr>
            <w:tcW w:w="2430" w:type="dxa"/>
          </w:tcPr>
          <w:p w14:paraId="3C6CF346" w14:textId="0E175872" w:rsidR="00256BE9" w:rsidRPr="00973AFD" w:rsidRDefault="00256BE9" w:rsidP="00256BE9">
            <w:pPr>
              <w:rPr>
                <w:rFonts w:ascii="Arial" w:hAnsi="Arial" w:cs="Arial"/>
                <w:sz w:val="22"/>
                <w:szCs w:val="22"/>
              </w:rPr>
            </w:pPr>
          </w:p>
        </w:tc>
        <w:tc>
          <w:tcPr>
            <w:tcW w:w="2610" w:type="dxa"/>
          </w:tcPr>
          <w:p w14:paraId="4216E8DA" w14:textId="77777777" w:rsidR="00256BE9" w:rsidRPr="006C0DBC" w:rsidRDefault="00256BE9" w:rsidP="00256BE9">
            <w:pPr>
              <w:rPr>
                <w:rFonts w:ascii="Arial" w:hAnsi="Arial" w:cs="Arial"/>
                <w:sz w:val="22"/>
                <w:szCs w:val="22"/>
              </w:rPr>
            </w:pPr>
            <w:r w:rsidRPr="006C0DBC">
              <w:rPr>
                <w:rFonts w:ascii="Arial" w:hAnsi="Arial" w:cs="Arial"/>
                <w:sz w:val="22"/>
                <w:szCs w:val="22"/>
              </w:rPr>
              <w:t>33-46-27.</w:t>
            </w:r>
          </w:p>
          <w:p w14:paraId="03EFDCB3" w14:textId="77777777" w:rsidR="00256BE9" w:rsidRPr="006C0DBC" w:rsidRDefault="00256BE9" w:rsidP="00256BE9">
            <w:pPr>
              <w:rPr>
                <w:rFonts w:ascii="Arial" w:hAnsi="Arial" w:cs="Arial"/>
                <w:sz w:val="22"/>
                <w:szCs w:val="22"/>
              </w:rPr>
            </w:pPr>
            <w:r w:rsidRPr="006C0DBC">
              <w:rPr>
                <w:rFonts w:ascii="Arial" w:hAnsi="Arial" w:cs="Arial"/>
                <w:sz w:val="22"/>
                <w:szCs w:val="22"/>
              </w:rPr>
              <w:t>A private review agent or utilization review entity shall render a prior authorization or</w:t>
            </w:r>
            <w:r>
              <w:rPr>
                <w:rFonts w:ascii="Arial" w:hAnsi="Arial" w:cs="Arial"/>
                <w:sz w:val="22"/>
                <w:szCs w:val="22"/>
              </w:rPr>
              <w:t xml:space="preserve"> </w:t>
            </w:r>
            <w:r w:rsidRPr="006C0DBC">
              <w:rPr>
                <w:rFonts w:ascii="Arial" w:hAnsi="Arial" w:cs="Arial"/>
                <w:sz w:val="22"/>
                <w:szCs w:val="22"/>
              </w:rPr>
              <w:t>adverse determination concerning urgent healthcare services and notify such person's</w:t>
            </w:r>
            <w:r>
              <w:rPr>
                <w:rFonts w:ascii="Arial" w:hAnsi="Arial" w:cs="Arial"/>
                <w:sz w:val="22"/>
                <w:szCs w:val="22"/>
              </w:rPr>
              <w:t xml:space="preserve"> </w:t>
            </w:r>
            <w:r w:rsidRPr="006C0DBC">
              <w:rPr>
                <w:rFonts w:ascii="Arial" w:hAnsi="Arial" w:cs="Arial"/>
                <w:sz w:val="22"/>
                <w:szCs w:val="22"/>
              </w:rPr>
              <w:t>healthcare provider, or such provider's appropriately qualified designee, of that prior</w:t>
            </w:r>
            <w:r>
              <w:rPr>
                <w:rFonts w:ascii="Arial" w:hAnsi="Arial" w:cs="Arial"/>
                <w:sz w:val="22"/>
                <w:szCs w:val="22"/>
              </w:rPr>
              <w:t xml:space="preserve"> </w:t>
            </w:r>
            <w:r w:rsidRPr="006C0DBC">
              <w:rPr>
                <w:rFonts w:ascii="Arial" w:hAnsi="Arial" w:cs="Arial"/>
                <w:sz w:val="22"/>
                <w:szCs w:val="22"/>
              </w:rPr>
              <w:t xml:space="preserve">authorization or adverse determination no later </w:t>
            </w:r>
            <w:r w:rsidRPr="006C0DBC">
              <w:rPr>
                <w:rFonts w:ascii="Arial" w:hAnsi="Arial" w:cs="Arial"/>
                <w:sz w:val="22"/>
                <w:szCs w:val="22"/>
              </w:rPr>
              <w:lastRenderedPageBreak/>
              <w:t>than 72 hours after receiving all information</w:t>
            </w:r>
          </w:p>
          <w:p w14:paraId="14179653" w14:textId="23F268EA" w:rsidR="00256BE9" w:rsidRPr="00973AFD" w:rsidRDefault="00256BE9" w:rsidP="00256BE9">
            <w:pPr>
              <w:rPr>
                <w:rFonts w:ascii="Arial" w:hAnsi="Arial" w:cs="Arial"/>
                <w:sz w:val="22"/>
                <w:szCs w:val="22"/>
              </w:rPr>
            </w:pPr>
            <w:r w:rsidRPr="006C0DBC">
              <w:rPr>
                <w:rFonts w:ascii="Arial" w:hAnsi="Arial" w:cs="Arial"/>
                <w:sz w:val="22"/>
                <w:szCs w:val="22"/>
              </w:rPr>
              <w:t>needed to complete the review of the requested healthcare services.</w:t>
            </w:r>
          </w:p>
        </w:tc>
        <w:tc>
          <w:tcPr>
            <w:tcW w:w="2610" w:type="dxa"/>
          </w:tcPr>
          <w:p w14:paraId="74F37503" w14:textId="77777777" w:rsidR="00256BE9" w:rsidRPr="006C0DBC" w:rsidRDefault="00256BE9" w:rsidP="00256BE9">
            <w:pPr>
              <w:rPr>
                <w:rFonts w:ascii="Arial" w:hAnsi="Arial" w:cs="Arial"/>
                <w:sz w:val="22"/>
                <w:szCs w:val="22"/>
              </w:rPr>
            </w:pPr>
          </w:p>
        </w:tc>
      </w:tr>
      <w:tr w:rsidR="00256BE9" w:rsidRPr="00973AFD" w14:paraId="675430F1" w14:textId="3ADCEEF9" w:rsidTr="00256BE9">
        <w:tc>
          <w:tcPr>
            <w:tcW w:w="1698" w:type="dxa"/>
          </w:tcPr>
          <w:p w14:paraId="00E7F664" w14:textId="77777777" w:rsidR="00256BE9" w:rsidRPr="00973AFD" w:rsidRDefault="00256BE9" w:rsidP="00256BE9">
            <w:pPr>
              <w:rPr>
                <w:rStyle w:val="markedcontent"/>
                <w:rFonts w:ascii="Arial" w:hAnsi="Arial" w:cs="Arial"/>
                <w:sz w:val="22"/>
                <w:szCs w:val="22"/>
              </w:rPr>
            </w:pPr>
          </w:p>
        </w:tc>
        <w:tc>
          <w:tcPr>
            <w:tcW w:w="2506" w:type="dxa"/>
          </w:tcPr>
          <w:p w14:paraId="5DE409FB" w14:textId="77777777" w:rsidR="00256BE9" w:rsidRPr="00C45C35" w:rsidRDefault="00256BE9" w:rsidP="00256BE9">
            <w:pPr>
              <w:rPr>
                <w:rFonts w:ascii="Arial" w:hAnsi="Arial" w:cs="Arial"/>
                <w:sz w:val="22"/>
                <w:szCs w:val="22"/>
              </w:rPr>
            </w:pPr>
          </w:p>
        </w:tc>
        <w:tc>
          <w:tcPr>
            <w:tcW w:w="2631" w:type="dxa"/>
          </w:tcPr>
          <w:p w14:paraId="105FD01C" w14:textId="77777777" w:rsidR="00256BE9" w:rsidRPr="00973AFD" w:rsidRDefault="00256BE9" w:rsidP="00256BE9">
            <w:pPr>
              <w:rPr>
                <w:rStyle w:val="markedcontent"/>
                <w:rFonts w:ascii="Arial" w:hAnsi="Arial" w:cs="Arial"/>
                <w:sz w:val="22"/>
                <w:szCs w:val="22"/>
              </w:rPr>
            </w:pPr>
          </w:p>
        </w:tc>
        <w:tc>
          <w:tcPr>
            <w:tcW w:w="2430" w:type="dxa"/>
          </w:tcPr>
          <w:p w14:paraId="2B8FBA37" w14:textId="77777777" w:rsidR="00256BE9" w:rsidRPr="00973AFD" w:rsidRDefault="00256BE9" w:rsidP="00256BE9">
            <w:pPr>
              <w:rPr>
                <w:rFonts w:ascii="Arial" w:hAnsi="Arial" w:cs="Arial"/>
                <w:sz w:val="22"/>
                <w:szCs w:val="22"/>
              </w:rPr>
            </w:pPr>
          </w:p>
        </w:tc>
        <w:tc>
          <w:tcPr>
            <w:tcW w:w="2430" w:type="dxa"/>
          </w:tcPr>
          <w:p w14:paraId="38B8427F" w14:textId="587214AB" w:rsidR="00256BE9" w:rsidRPr="00973AFD" w:rsidRDefault="00256BE9" w:rsidP="00256BE9">
            <w:pPr>
              <w:rPr>
                <w:rFonts w:ascii="Arial" w:hAnsi="Arial" w:cs="Arial"/>
                <w:sz w:val="22"/>
                <w:szCs w:val="22"/>
              </w:rPr>
            </w:pPr>
          </w:p>
        </w:tc>
        <w:tc>
          <w:tcPr>
            <w:tcW w:w="2610" w:type="dxa"/>
          </w:tcPr>
          <w:p w14:paraId="25AFA117" w14:textId="77777777" w:rsidR="00256BE9" w:rsidRPr="006C0DBC" w:rsidRDefault="00256BE9" w:rsidP="00256BE9">
            <w:pPr>
              <w:rPr>
                <w:rFonts w:ascii="Arial" w:hAnsi="Arial" w:cs="Arial"/>
                <w:sz w:val="22"/>
                <w:szCs w:val="22"/>
              </w:rPr>
            </w:pPr>
            <w:r w:rsidRPr="006C0DBC">
              <w:rPr>
                <w:rFonts w:ascii="Arial" w:hAnsi="Arial" w:cs="Arial"/>
                <w:sz w:val="22"/>
                <w:szCs w:val="22"/>
              </w:rPr>
              <w:t>33-46-26</w:t>
            </w:r>
            <w:r>
              <w:rPr>
                <w:rFonts w:ascii="Arial" w:hAnsi="Arial" w:cs="Arial"/>
                <w:sz w:val="22"/>
                <w:szCs w:val="22"/>
              </w:rPr>
              <w:t xml:space="preserve">. </w:t>
            </w:r>
            <w:r w:rsidRPr="006C0DBC">
              <w:rPr>
                <w:rFonts w:ascii="Arial" w:hAnsi="Arial" w:cs="Arial"/>
                <w:sz w:val="22"/>
                <w:szCs w:val="22"/>
              </w:rPr>
              <w:t>Effective January 1, 2022, until December 31, 2022, if an insurer requires prior</w:t>
            </w:r>
            <w:r>
              <w:rPr>
                <w:rFonts w:ascii="Arial" w:hAnsi="Arial" w:cs="Arial"/>
                <w:sz w:val="22"/>
                <w:szCs w:val="22"/>
              </w:rPr>
              <w:t xml:space="preserve"> </w:t>
            </w:r>
            <w:r w:rsidRPr="006C0DBC">
              <w:rPr>
                <w:rFonts w:ascii="Arial" w:hAnsi="Arial" w:cs="Arial"/>
                <w:sz w:val="22"/>
                <w:szCs w:val="22"/>
              </w:rPr>
              <w:t>authorization of a healthcare service, a private review agent or utilization review entity</w:t>
            </w:r>
          </w:p>
          <w:p w14:paraId="5DC3BF27" w14:textId="77777777" w:rsidR="00256BE9" w:rsidRPr="006C0DBC" w:rsidRDefault="00256BE9" w:rsidP="00256BE9">
            <w:pPr>
              <w:rPr>
                <w:rFonts w:ascii="Arial" w:hAnsi="Arial" w:cs="Arial"/>
                <w:sz w:val="22"/>
                <w:szCs w:val="22"/>
              </w:rPr>
            </w:pPr>
            <w:r w:rsidRPr="006C0DBC">
              <w:rPr>
                <w:rFonts w:ascii="Arial" w:hAnsi="Arial" w:cs="Arial"/>
                <w:sz w:val="22"/>
                <w:szCs w:val="22"/>
              </w:rPr>
              <w:t>shall notify the covered person's healthcare provider, or such provider's appropriately</w:t>
            </w:r>
          </w:p>
          <w:p w14:paraId="3989262B" w14:textId="77777777" w:rsidR="00256BE9" w:rsidRPr="006C0DBC" w:rsidRDefault="00256BE9" w:rsidP="00256BE9">
            <w:pPr>
              <w:rPr>
                <w:rFonts w:ascii="Arial" w:hAnsi="Arial" w:cs="Arial"/>
                <w:sz w:val="22"/>
                <w:szCs w:val="22"/>
              </w:rPr>
            </w:pPr>
            <w:r w:rsidRPr="006C0DBC">
              <w:rPr>
                <w:rFonts w:ascii="Arial" w:hAnsi="Arial" w:cs="Arial"/>
                <w:sz w:val="22"/>
                <w:szCs w:val="22"/>
              </w:rPr>
              <w:t xml:space="preserve">qualified designee, of any prior authorization or adverse determination within 15 </w:t>
            </w:r>
            <w:proofErr w:type="gramStart"/>
            <w:r w:rsidRPr="006C0DBC">
              <w:rPr>
                <w:rFonts w:ascii="Arial" w:hAnsi="Arial" w:cs="Arial"/>
                <w:sz w:val="22"/>
                <w:szCs w:val="22"/>
              </w:rPr>
              <w:t>calendar</w:t>
            </w:r>
            <w:proofErr w:type="gramEnd"/>
          </w:p>
          <w:p w14:paraId="5D8A01C8" w14:textId="77777777" w:rsidR="00256BE9" w:rsidRPr="006C0DBC" w:rsidRDefault="00256BE9" w:rsidP="00256BE9">
            <w:pPr>
              <w:rPr>
                <w:rFonts w:ascii="Arial" w:hAnsi="Arial" w:cs="Arial"/>
                <w:sz w:val="22"/>
                <w:szCs w:val="22"/>
              </w:rPr>
            </w:pPr>
            <w:r w:rsidRPr="006C0DBC">
              <w:rPr>
                <w:rFonts w:ascii="Arial" w:hAnsi="Arial" w:cs="Arial"/>
                <w:sz w:val="22"/>
                <w:szCs w:val="22"/>
              </w:rPr>
              <w:t>days of obtaining all necessary information to make such authorization or adverse</w:t>
            </w:r>
            <w:r>
              <w:rPr>
                <w:rFonts w:ascii="Arial" w:hAnsi="Arial" w:cs="Arial"/>
                <w:sz w:val="22"/>
                <w:szCs w:val="22"/>
              </w:rPr>
              <w:t xml:space="preserve"> </w:t>
            </w:r>
            <w:r w:rsidRPr="006C0DBC">
              <w:rPr>
                <w:rFonts w:ascii="Arial" w:hAnsi="Arial" w:cs="Arial"/>
                <w:sz w:val="22"/>
                <w:szCs w:val="22"/>
              </w:rPr>
              <w:t>determination. Effective January 1, 2023, if an insurer requires prior authorization of a</w:t>
            </w:r>
          </w:p>
          <w:p w14:paraId="4B30F2D6" w14:textId="12733E69" w:rsidR="00256BE9" w:rsidRPr="00973AFD" w:rsidRDefault="00256BE9" w:rsidP="00256BE9">
            <w:pPr>
              <w:rPr>
                <w:rFonts w:ascii="Arial" w:hAnsi="Arial" w:cs="Arial"/>
                <w:sz w:val="22"/>
                <w:szCs w:val="22"/>
              </w:rPr>
            </w:pPr>
            <w:r w:rsidRPr="006C0DBC">
              <w:rPr>
                <w:rFonts w:ascii="Arial" w:hAnsi="Arial" w:cs="Arial"/>
                <w:sz w:val="22"/>
                <w:szCs w:val="22"/>
              </w:rPr>
              <w:t xml:space="preserve">healthcare service, a private review agent or utilization review entity </w:t>
            </w:r>
            <w:r w:rsidRPr="006C0DBC">
              <w:rPr>
                <w:rFonts w:ascii="Arial" w:hAnsi="Arial" w:cs="Arial"/>
                <w:sz w:val="22"/>
                <w:szCs w:val="22"/>
              </w:rPr>
              <w:lastRenderedPageBreak/>
              <w:t>shall notify the</w:t>
            </w:r>
            <w:r>
              <w:rPr>
                <w:rFonts w:ascii="Arial" w:hAnsi="Arial" w:cs="Arial"/>
                <w:sz w:val="22"/>
                <w:szCs w:val="22"/>
              </w:rPr>
              <w:t xml:space="preserve"> </w:t>
            </w:r>
            <w:r w:rsidRPr="006C0DBC">
              <w:rPr>
                <w:rFonts w:ascii="Arial" w:hAnsi="Arial" w:cs="Arial"/>
                <w:sz w:val="22"/>
                <w:szCs w:val="22"/>
              </w:rPr>
              <w:t>covered person's healthcare provider, or such provider's appropriately qualified designee,</w:t>
            </w:r>
            <w:r>
              <w:rPr>
                <w:rFonts w:ascii="Arial" w:hAnsi="Arial" w:cs="Arial"/>
                <w:sz w:val="22"/>
                <w:szCs w:val="22"/>
              </w:rPr>
              <w:t xml:space="preserve"> </w:t>
            </w:r>
            <w:r w:rsidRPr="006C0DBC">
              <w:rPr>
                <w:rFonts w:ascii="Arial" w:hAnsi="Arial" w:cs="Arial"/>
                <w:sz w:val="22"/>
                <w:szCs w:val="22"/>
              </w:rPr>
              <w:t>of any prior authorization or adverse determination within 7 calendar days of obtaining all</w:t>
            </w:r>
            <w:r>
              <w:rPr>
                <w:rFonts w:ascii="Arial" w:hAnsi="Arial" w:cs="Arial"/>
                <w:sz w:val="22"/>
                <w:szCs w:val="22"/>
              </w:rPr>
              <w:t xml:space="preserve"> </w:t>
            </w:r>
            <w:r w:rsidRPr="006C0DBC">
              <w:rPr>
                <w:rFonts w:ascii="Arial" w:hAnsi="Arial" w:cs="Arial"/>
                <w:sz w:val="22"/>
                <w:szCs w:val="22"/>
              </w:rPr>
              <w:t>necessary information to make such authorization or adverse determination.</w:t>
            </w:r>
          </w:p>
        </w:tc>
        <w:tc>
          <w:tcPr>
            <w:tcW w:w="2610" w:type="dxa"/>
          </w:tcPr>
          <w:p w14:paraId="48C89C1A" w14:textId="77777777" w:rsidR="00256BE9" w:rsidRPr="006C0DBC" w:rsidRDefault="00256BE9" w:rsidP="00256BE9">
            <w:pPr>
              <w:rPr>
                <w:rFonts w:ascii="Arial" w:hAnsi="Arial" w:cs="Arial"/>
                <w:sz w:val="22"/>
                <w:szCs w:val="22"/>
              </w:rPr>
            </w:pPr>
          </w:p>
        </w:tc>
      </w:tr>
      <w:tr w:rsidR="00256BE9" w:rsidRPr="00973AFD" w14:paraId="67D3835B" w14:textId="53195C86" w:rsidTr="00256BE9">
        <w:tc>
          <w:tcPr>
            <w:tcW w:w="1698" w:type="dxa"/>
          </w:tcPr>
          <w:p w14:paraId="19714FC6" w14:textId="77777777" w:rsidR="00256BE9" w:rsidRPr="00973AFD" w:rsidRDefault="00256BE9" w:rsidP="00256BE9">
            <w:pPr>
              <w:rPr>
                <w:rStyle w:val="markedcontent"/>
                <w:rFonts w:ascii="Arial" w:hAnsi="Arial" w:cs="Arial"/>
                <w:sz w:val="22"/>
                <w:szCs w:val="22"/>
              </w:rPr>
            </w:pPr>
          </w:p>
        </w:tc>
        <w:tc>
          <w:tcPr>
            <w:tcW w:w="2506" w:type="dxa"/>
          </w:tcPr>
          <w:p w14:paraId="2B0E292F" w14:textId="77777777" w:rsidR="00256BE9" w:rsidRPr="00C45C35" w:rsidRDefault="00256BE9" w:rsidP="00256BE9">
            <w:pPr>
              <w:rPr>
                <w:rFonts w:ascii="Arial" w:hAnsi="Arial" w:cs="Arial"/>
                <w:sz w:val="22"/>
                <w:szCs w:val="22"/>
              </w:rPr>
            </w:pPr>
          </w:p>
        </w:tc>
        <w:tc>
          <w:tcPr>
            <w:tcW w:w="2631" w:type="dxa"/>
          </w:tcPr>
          <w:p w14:paraId="594ECA23" w14:textId="117630CB"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All utilization review denials should include the clinical rationale for the adverse determination (e.g., national medical specialty society guidelines, peer-reviewed clinical literature, etc.), provide the plan’s covered alternative treatment and detail the provider’s appeal rights.</w:t>
            </w:r>
          </w:p>
        </w:tc>
        <w:tc>
          <w:tcPr>
            <w:tcW w:w="2430" w:type="dxa"/>
          </w:tcPr>
          <w:p w14:paraId="27B8A27E" w14:textId="77777777" w:rsidR="00256BE9" w:rsidRPr="00973AFD" w:rsidRDefault="00256BE9" w:rsidP="00256BE9">
            <w:pPr>
              <w:rPr>
                <w:rFonts w:ascii="Arial" w:hAnsi="Arial" w:cs="Arial"/>
                <w:sz w:val="22"/>
                <w:szCs w:val="22"/>
              </w:rPr>
            </w:pPr>
          </w:p>
        </w:tc>
        <w:tc>
          <w:tcPr>
            <w:tcW w:w="2430" w:type="dxa"/>
          </w:tcPr>
          <w:p w14:paraId="222C1546" w14:textId="43E79E81" w:rsidR="00256BE9" w:rsidRPr="00973AFD" w:rsidRDefault="00256BE9" w:rsidP="00256BE9">
            <w:pPr>
              <w:rPr>
                <w:rFonts w:ascii="Arial" w:hAnsi="Arial" w:cs="Arial"/>
                <w:sz w:val="22"/>
                <w:szCs w:val="22"/>
              </w:rPr>
            </w:pPr>
          </w:p>
        </w:tc>
        <w:tc>
          <w:tcPr>
            <w:tcW w:w="2610" w:type="dxa"/>
          </w:tcPr>
          <w:p w14:paraId="6A2DF312" w14:textId="77777777" w:rsidR="00256BE9" w:rsidRPr="00F34999" w:rsidRDefault="00256BE9" w:rsidP="00256BE9">
            <w:pPr>
              <w:rPr>
                <w:rFonts w:ascii="Arial" w:hAnsi="Arial" w:cs="Arial"/>
                <w:sz w:val="22"/>
                <w:szCs w:val="22"/>
              </w:rPr>
            </w:pPr>
            <w:r>
              <w:rPr>
                <w:rFonts w:ascii="Arial" w:hAnsi="Arial" w:cs="Arial"/>
                <w:sz w:val="22"/>
                <w:szCs w:val="22"/>
              </w:rPr>
              <w:t xml:space="preserve">33-46-22 </w:t>
            </w:r>
            <w:r w:rsidRPr="00F34999">
              <w:rPr>
                <w:rFonts w:ascii="Arial" w:hAnsi="Arial" w:cs="Arial"/>
                <w:sz w:val="22"/>
                <w:szCs w:val="22"/>
              </w:rPr>
              <w:t>A private review agent or utilization review entity shall ensure that all appeals are reviewed</w:t>
            </w:r>
            <w:r>
              <w:rPr>
                <w:rFonts w:ascii="Arial" w:hAnsi="Arial" w:cs="Arial"/>
                <w:sz w:val="22"/>
                <w:szCs w:val="22"/>
              </w:rPr>
              <w:t xml:space="preserve"> </w:t>
            </w:r>
            <w:r w:rsidRPr="00F34999">
              <w:rPr>
                <w:rFonts w:ascii="Arial" w:hAnsi="Arial" w:cs="Arial"/>
                <w:sz w:val="22"/>
                <w:szCs w:val="22"/>
              </w:rPr>
              <w:t>by an appropriate healthcare provider who shall:</w:t>
            </w:r>
          </w:p>
          <w:p w14:paraId="7FD2EAD4" w14:textId="77777777" w:rsidR="00256BE9" w:rsidRPr="00F34999" w:rsidRDefault="00256BE9" w:rsidP="00256BE9">
            <w:pPr>
              <w:rPr>
                <w:rFonts w:ascii="Arial" w:hAnsi="Arial" w:cs="Arial"/>
                <w:sz w:val="22"/>
                <w:szCs w:val="22"/>
              </w:rPr>
            </w:pPr>
            <w:r w:rsidRPr="00F34999">
              <w:rPr>
                <w:rFonts w:ascii="Arial" w:hAnsi="Arial" w:cs="Arial"/>
                <w:sz w:val="22"/>
                <w:szCs w:val="22"/>
              </w:rPr>
              <w:t xml:space="preserve">(1) Possess a current and valid </w:t>
            </w:r>
            <w:proofErr w:type="spellStart"/>
            <w:r w:rsidRPr="00F34999">
              <w:rPr>
                <w:rFonts w:ascii="Arial" w:hAnsi="Arial" w:cs="Arial"/>
                <w:sz w:val="22"/>
                <w:szCs w:val="22"/>
              </w:rPr>
              <w:t>nonrestricted</w:t>
            </w:r>
            <w:proofErr w:type="spellEnd"/>
            <w:r w:rsidRPr="00F34999">
              <w:rPr>
                <w:rFonts w:ascii="Arial" w:hAnsi="Arial" w:cs="Arial"/>
                <w:sz w:val="22"/>
                <w:szCs w:val="22"/>
              </w:rPr>
              <w:t xml:space="preserve"> license or maintain other appropriate legal</w:t>
            </w:r>
            <w:r>
              <w:rPr>
                <w:rFonts w:ascii="Arial" w:hAnsi="Arial" w:cs="Arial"/>
                <w:sz w:val="22"/>
                <w:szCs w:val="22"/>
              </w:rPr>
              <w:t xml:space="preserve"> </w:t>
            </w:r>
            <w:r w:rsidRPr="00F34999">
              <w:rPr>
                <w:rFonts w:ascii="Arial" w:hAnsi="Arial" w:cs="Arial"/>
                <w:sz w:val="22"/>
                <w:szCs w:val="22"/>
              </w:rPr>
              <w:t>authorization;</w:t>
            </w:r>
          </w:p>
          <w:p w14:paraId="5987B96E" w14:textId="77777777" w:rsidR="00256BE9" w:rsidRPr="00F34999" w:rsidRDefault="00256BE9" w:rsidP="00256BE9">
            <w:pPr>
              <w:rPr>
                <w:rFonts w:ascii="Arial" w:hAnsi="Arial" w:cs="Arial"/>
                <w:sz w:val="22"/>
                <w:szCs w:val="22"/>
              </w:rPr>
            </w:pPr>
            <w:r w:rsidRPr="00F34999">
              <w:rPr>
                <w:rFonts w:ascii="Arial" w:hAnsi="Arial" w:cs="Arial"/>
                <w:sz w:val="22"/>
                <w:szCs w:val="22"/>
              </w:rPr>
              <w:t>(2) Be currently in active practice in the same or similar specialty and who</w:t>
            </w:r>
          </w:p>
          <w:p w14:paraId="46E198E3" w14:textId="77777777" w:rsidR="00256BE9" w:rsidRPr="00F34999" w:rsidRDefault="00256BE9" w:rsidP="00256BE9">
            <w:pPr>
              <w:rPr>
                <w:rFonts w:ascii="Arial" w:hAnsi="Arial" w:cs="Arial"/>
                <w:sz w:val="22"/>
                <w:szCs w:val="22"/>
              </w:rPr>
            </w:pPr>
            <w:r w:rsidRPr="00F34999">
              <w:rPr>
                <w:rFonts w:ascii="Arial" w:hAnsi="Arial" w:cs="Arial"/>
                <w:sz w:val="22"/>
                <w:szCs w:val="22"/>
              </w:rPr>
              <w:t>typically manages the medical condition or disease;</w:t>
            </w:r>
          </w:p>
          <w:p w14:paraId="57B313D5" w14:textId="77777777" w:rsidR="00256BE9" w:rsidRDefault="00256BE9" w:rsidP="00256BE9">
            <w:pPr>
              <w:rPr>
                <w:rFonts w:ascii="Arial" w:hAnsi="Arial" w:cs="Arial"/>
                <w:sz w:val="22"/>
                <w:szCs w:val="22"/>
              </w:rPr>
            </w:pPr>
            <w:r w:rsidRPr="00F34999">
              <w:rPr>
                <w:rFonts w:ascii="Arial" w:hAnsi="Arial" w:cs="Arial"/>
                <w:sz w:val="22"/>
                <w:szCs w:val="22"/>
              </w:rPr>
              <w:lastRenderedPageBreak/>
              <w:t>(3) Be knowledgeable of, and have experience providing, the healthcare service under</w:t>
            </w:r>
            <w:r>
              <w:rPr>
                <w:rFonts w:ascii="Arial" w:hAnsi="Arial" w:cs="Arial"/>
                <w:sz w:val="22"/>
                <w:szCs w:val="22"/>
              </w:rPr>
              <w:t xml:space="preserve"> </w:t>
            </w:r>
            <w:r w:rsidRPr="00F34999">
              <w:rPr>
                <w:rFonts w:ascii="Arial" w:hAnsi="Arial" w:cs="Arial"/>
                <w:sz w:val="22"/>
                <w:szCs w:val="22"/>
              </w:rPr>
              <w:t>appeal;</w:t>
            </w:r>
          </w:p>
          <w:p w14:paraId="0C0CA447" w14:textId="77777777" w:rsidR="00256BE9" w:rsidRDefault="00256BE9" w:rsidP="00256BE9">
            <w:pPr>
              <w:rPr>
                <w:rFonts w:ascii="Arial" w:hAnsi="Arial" w:cs="Arial"/>
                <w:sz w:val="22"/>
                <w:szCs w:val="22"/>
              </w:rPr>
            </w:pPr>
            <w:r w:rsidRPr="00F34999">
              <w:rPr>
                <w:rFonts w:ascii="Arial" w:hAnsi="Arial" w:cs="Arial"/>
                <w:sz w:val="22"/>
                <w:szCs w:val="22"/>
              </w:rPr>
              <w:t>(4) Not have been directly involved in making the adverse determination; and</w:t>
            </w:r>
          </w:p>
          <w:p w14:paraId="5C06FFB9" w14:textId="77777777" w:rsidR="00256BE9" w:rsidRPr="00F34999" w:rsidRDefault="00256BE9" w:rsidP="00256BE9">
            <w:pPr>
              <w:rPr>
                <w:rFonts w:ascii="Arial" w:hAnsi="Arial" w:cs="Arial"/>
                <w:sz w:val="22"/>
                <w:szCs w:val="22"/>
              </w:rPr>
            </w:pPr>
            <w:r w:rsidRPr="00F34999">
              <w:rPr>
                <w:rFonts w:ascii="Arial" w:hAnsi="Arial" w:cs="Arial"/>
                <w:sz w:val="22"/>
                <w:szCs w:val="22"/>
              </w:rPr>
              <w:t>(5) Consider all known clinical aspects of the healthcare service under review, including,</w:t>
            </w:r>
            <w:r>
              <w:rPr>
                <w:rFonts w:ascii="Arial" w:hAnsi="Arial" w:cs="Arial"/>
                <w:sz w:val="22"/>
                <w:szCs w:val="22"/>
              </w:rPr>
              <w:t xml:space="preserve"> </w:t>
            </w:r>
            <w:r w:rsidRPr="00F34999">
              <w:rPr>
                <w:rFonts w:ascii="Arial" w:hAnsi="Arial" w:cs="Arial"/>
                <w:sz w:val="22"/>
                <w:szCs w:val="22"/>
              </w:rPr>
              <w:t>but not limited to, a review of all pertinent medical or other records provided to the</w:t>
            </w:r>
          </w:p>
          <w:p w14:paraId="6217C826" w14:textId="138D446F" w:rsidR="00256BE9" w:rsidRPr="00973AFD" w:rsidRDefault="00256BE9" w:rsidP="00256BE9">
            <w:pPr>
              <w:rPr>
                <w:rFonts w:ascii="Arial" w:hAnsi="Arial" w:cs="Arial"/>
                <w:sz w:val="22"/>
                <w:szCs w:val="22"/>
              </w:rPr>
            </w:pPr>
            <w:r w:rsidRPr="00F34999">
              <w:rPr>
                <w:rFonts w:ascii="Arial" w:hAnsi="Arial" w:cs="Arial"/>
                <w:sz w:val="22"/>
                <w:szCs w:val="22"/>
              </w:rPr>
              <w:t>private review agent or utilization review entity by the covered person's healthcare</w:t>
            </w:r>
            <w:r>
              <w:rPr>
                <w:rFonts w:ascii="Arial" w:hAnsi="Arial" w:cs="Arial"/>
                <w:sz w:val="22"/>
                <w:szCs w:val="22"/>
              </w:rPr>
              <w:t xml:space="preserve"> </w:t>
            </w:r>
            <w:r w:rsidRPr="00F34999">
              <w:rPr>
                <w:rFonts w:ascii="Arial" w:hAnsi="Arial" w:cs="Arial"/>
                <w:sz w:val="22"/>
                <w:szCs w:val="22"/>
              </w:rPr>
              <w:t>provider, any relevant records provided to such agent or entity by a facility, and any</w:t>
            </w:r>
            <w:r>
              <w:rPr>
                <w:rFonts w:ascii="Arial" w:hAnsi="Arial" w:cs="Arial"/>
                <w:sz w:val="22"/>
                <w:szCs w:val="22"/>
              </w:rPr>
              <w:t xml:space="preserve"> </w:t>
            </w:r>
            <w:r w:rsidRPr="00F34999">
              <w:rPr>
                <w:rFonts w:ascii="Arial" w:hAnsi="Arial" w:cs="Arial"/>
                <w:sz w:val="22"/>
                <w:szCs w:val="22"/>
              </w:rPr>
              <w:t>medical or other literature provided to such agent or entity by the healthcare provider.</w:t>
            </w:r>
          </w:p>
        </w:tc>
        <w:tc>
          <w:tcPr>
            <w:tcW w:w="2610" w:type="dxa"/>
          </w:tcPr>
          <w:p w14:paraId="0EFF5AAC" w14:textId="77777777" w:rsidR="00256BE9" w:rsidRDefault="00256BE9" w:rsidP="00256BE9">
            <w:pPr>
              <w:rPr>
                <w:rFonts w:ascii="Arial" w:hAnsi="Arial" w:cs="Arial"/>
                <w:sz w:val="22"/>
                <w:szCs w:val="22"/>
              </w:rPr>
            </w:pPr>
          </w:p>
        </w:tc>
      </w:tr>
      <w:tr w:rsidR="00256BE9" w:rsidRPr="00973AFD" w14:paraId="6B866FF1" w14:textId="754631BA" w:rsidTr="00256BE9">
        <w:tc>
          <w:tcPr>
            <w:tcW w:w="1698" w:type="dxa"/>
          </w:tcPr>
          <w:p w14:paraId="428D4DA5" w14:textId="77777777" w:rsidR="00256BE9" w:rsidRPr="00973AFD" w:rsidRDefault="00256BE9" w:rsidP="00256BE9">
            <w:pPr>
              <w:rPr>
                <w:rStyle w:val="markedcontent"/>
                <w:rFonts w:ascii="Arial" w:hAnsi="Arial" w:cs="Arial"/>
                <w:sz w:val="22"/>
                <w:szCs w:val="22"/>
              </w:rPr>
            </w:pPr>
          </w:p>
        </w:tc>
        <w:tc>
          <w:tcPr>
            <w:tcW w:w="2506" w:type="dxa"/>
          </w:tcPr>
          <w:p w14:paraId="41E87A80" w14:textId="77777777" w:rsidR="00256BE9" w:rsidRPr="00C45C35" w:rsidRDefault="00256BE9" w:rsidP="00256BE9">
            <w:pPr>
              <w:rPr>
                <w:rFonts w:ascii="Arial" w:hAnsi="Arial" w:cs="Arial"/>
                <w:sz w:val="22"/>
                <w:szCs w:val="22"/>
              </w:rPr>
            </w:pPr>
          </w:p>
        </w:tc>
        <w:tc>
          <w:tcPr>
            <w:tcW w:w="2631" w:type="dxa"/>
          </w:tcPr>
          <w:p w14:paraId="0EB045E3" w14:textId="77777777" w:rsidR="00256BE9" w:rsidRPr="00973AFD" w:rsidRDefault="00256BE9" w:rsidP="00256BE9">
            <w:pPr>
              <w:rPr>
                <w:rStyle w:val="markedcontent"/>
                <w:rFonts w:ascii="Arial" w:hAnsi="Arial" w:cs="Arial"/>
                <w:sz w:val="22"/>
                <w:szCs w:val="22"/>
              </w:rPr>
            </w:pPr>
          </w:p>
        </w:tc>
        <w:tc>
          <w:tcPr>
            <w:tcW w:w="2430" w:type="dxa"/>
          </w:tcPr>
          <w:p w14:paraId="04724E17" w14:textId="77777777" w:rsidR="00256BE9" w:rsidRPr="00973AFD" w:rsidRDefault="00256BE9" w:rsidP="00256BE9">
            <w:pPr>
              <w:rPr>
                <w:rFonts w:ascii="Arial" w:hAnsi="Arial" w:cs="Arial"/>
                <w:sz w:val="22"/>
                <w:szCs w:val="22"/>
              </w:rPr>
            </w:pPr>
          </w:p>
        </w:tc>
        <w:tc>
          <w:tcPr>
            <w:tcW w:w="2430" w:type="dxa"/>
          </w:tcPr>
          <w:p w14:paraId="7FD74D27" w14:textId="713E7744" w:rsidR="00256BE9" w:rsidRPr="00973AFD" w:rsidRDefault="00256BE9" w:rsidP="00256BE9">
            <w:pPr>
              <w:rPr>
                <w:rFonts w:ascii="Arial" w:hAnsi="Arial" w:cs="Arial"/>
                <w:sz w:val="22"/>
                <w:szCs w:val="22"/>
              </w:rPr>
            </w:pPr>
          </w:p>
        </w:tc>
        <w:tc>
          <w:tcPr>
            <w:tcW w:w="2610" w:type="dxa"/>
          </w:tcPr>
          <w:p w14:paraId="2D872334"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33-46-8(b)(4)(B) (certificate may only be granted to an organization that):</w:t>
            </w:r>
          </w:p>
          <w:p w14:paraId="7FE30F90" w14:textId="345E434E" w:rsidR="00256BE9" w:rsidRPr="00973AFD" w:rsidRDefault="00256BE9" w:rsidP="00256BE9">
            <w:pPr>
              <w:rPr>
                <w:rFonts w:ascii="Arial" w:hAnsi="Arial" w:cs="Arial"/>
                <w:sz w:val="22"/>
                <w:szCs w:val="22"/>
              </w:rPr>
            </w:pPr>
            <w:r w:rsidRPr="00436C82">
              <w:rPr>
                <w:rFonts w:ascii="Arial" w:hAnsi="Arial" w:cs="Arial"/>
                <w:sz w:val="22"/>
                <w:szCs w:val="22"/>
              </w:rPr>
              <w:lastRenderedPageBreak/>
              <w:t xml:space="preserve">Maintains records of such written complaints for five years from the time the complaints are filed and submits to the Commissioner a summary report at such times and in such format as the Commissioner may require; </w:t>
            </w:r>
          </w:p>
        </w:tc>
        <w:tc>
          <w:tcPr>
            <w:tcW w:w="2610" w:type="dxa"/>
          </w:tcPr>
          <w:p w14:paraId="20EEA415" w14:textId="77777777" w:rsidR="00256BE9" w:rsidRPr="00436C82" w:rsidRDefault="00256BE9" w:rsidP="00256BE9">
            <w:pPr>
              <w:autoSpaceDE w:val="0"/>
              <w:autoSpaceDN w:val="0"/>
              <w:adjustRightInd w:val="0"/>
              <w:rPr>
                <w:rFonts w:ascii="Arial" w:hAnsi="Arial" w:cs="Arial"/>
                <w:sz w:val="22"/>
                <w:szCs w:val="22"/>
              </w:rPr>
            </w:pPr>
          </w:p>
        </w:tc>
      </w:tr>
      <w:tr w:rsidR="00256BE9" w:rsidRPr="00973AFD" w14:paraId="326C9E5C" w14:textId="7E1988AD" w:rsidTr="00256BE9">
        <w:tc>
          <w:tcPr>
            <w:tcW w:w="1698" w:type="dxa"/>
          </w:tcPr>
          <w:p w14:paraId="70F2C3EC" w14:textId="5096E02F"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Timely Access and </w:t>
            </w:r>
            <w:r>
              <w:rPr>
                <w:rStyle w:val="markedcontent"/>
                <w:rFonts w:ascii="Arial" w:hAnsi="Arial" w:cs="Arial"/>
                <w:sz w:val="22"/>
                <w:szCs w:val="22"/>
              </w:rPr>
              <w:t>A</w:t>
            </w:r>
            <w:r w:rsidRPr="00973AFD">
              <w:rPr>
                <w:rStyle w:val="markedcontent"/>
                <w:rFonts w:ascii="Arial" w:hAnsi="Arial" w:cs="Arial"/>
                <w:sz w:val="22"/>
                <w:szCs w:val="22"/>
              </w:rPr>
              <w:t>dmin</w:t>
            </w:r>
            <w:r>
              <w:rPr>
                <w:rStyle w:val="markedcontent"/>
                <w:rFonts w:ascii="Arial" w:hAnsi="Arial" w:cs="Arial"/>
                <w:sz w:val="22"/>
                <w:szCs w:val="22"/>
              </w:rPr>
              <w:t>.</w:t>
            </w:r>
            <w:r w:rsidRPr="00973AFD">
              <w:rPr>
                <w:rStyle w:val="markedcontent"/>
                <w:rFonts w:ascii="Arial" w:hAnsi="Arial" w:cs="Arial"/>
                <w:sz w:val="22"/>
                <w:szCs w:val="22"/>
              </w:rPr>
              <w:t xml:space="preserve"> Efficiency</w:t>
            </w:r>
          </w:p>
          <w:p w14:paraId="0924B602" w14:textId="77777777" w:rsidR="00256BE9" w:rsidRPr="00973AFD" w:rsidRDefault="00256BE9" w:rsidP="00256BE9">
            <w:pPr>
              <w:rPr>
                <w:rFonts w:ascii="Arial" w:hAnsi="Arial" w:cs="Arial"/>
                <w:sz w:val="22"/>
                <w:szCs w:val="22"/>
              </w:rPr>
            </w:pPr>
          </w:p>
        </w:tc>
        <w:tc>
          <w:tcPr>
            <w:tcW w:w="2506" w:type="dxa"/>
          </w:tcPr>
          <w:p w14:paraId="4FEE19B1" w14:textId="5CFD6111" w:rsidR="00256BE9" w:rsidRPr="00C45C35" w:rsidRDefault="00256BE9" w:rsidP="00256BE9">
            <w:pPr>
              <w:rPr>
                <w:rFonts w:ascii="Arial" w:hAnsi="Arial" w:cs="Arial"/>
                <w:sz w:val="22"/>
                <w:szCs w:val="22"/>
              </w:rPr>
            </w:pPr>
            <w:r w:rsidRPr="00C45C35">
              <w:rPr>
                <w:rFonts w:ascii="Arial" w:hAnsi="Arial" w:cs="Arial"/>
                <w:color w:val="000000"/>
                <w:sz w:val="22"/>
                <w:szCs w:val="22"/>
              </w:rPr>
              <w:t xml:space="preserve">PPS10: Providers shall be compensated with for each hour of data entry of clinical information required for the UR/UM authorization. </w:t>
            </w:r>
            <w:proofErr w:type="spellStart"/>
            <w:r w:rsidRPr="00C45C35">
              <w:rPr>
                <w:rFonts w:ascii="Arial" w:hAnsi="Arial" w:cs="Arial"/>
                <w:color w:val="000000"/>
                <w:sz w:val="22"/>
                <w:szCs w:val="22"/>
              </w:rPr>
              <w:t>a</w:t>
            </w:r>
            <w:proofErr w:type="spellEnd"/>
            <w:r w:rsidRPr="00C45C35">
              <w:rPr>
                <w:rFonts w:ascii="Arial" w:hAnsi="Arial" w:cs="Arial"/>
                <w:color w:val="000000"/>
                <w:sz w:val="22"/>
                <w:szCs w:val="22"/>
              </w:rPr>
              <w:t xml:space="preserve"> Such compensation shall equal 50% of CPT of the top PT CPT code 97110 per the fee schedule payment for each hour of data entry of clinical information required for the UR/UM authorization. Providers will shall invoice the UR/UM organization on a monthly basis OR Payers shall increase fee schedules </w:t>
            </w:r>
            <w:r w:rsidRPr="00C45C35">
              <w:rPr>
                <w:rFonts w:ascii="Arial" w:hAnsi="Arial" w:cs="Arial"/>
                <w:color w:val="000000"/>
                <w:sz w:val="22"/>
                <w:szCs w:val="22"/>
              </w:rPr>
              <w:lastRenderedPageBreak/>
              <w:t>commensurate with increased administrative expenses.</w:t>
            </w:r>
          </w:p>
          <w:p w14:paraId="2C19F8E8" w14:textId="6BFC775E" w:rsidR="00256BE9" w:rsidRPr="00C45C35" w:rsidRDefault="00256BE9" w:rsidP="00256BE9">
            <w:pPr>
              <w:rPr>
                <w:rFonts w:ascii="Arial" w:hAnsi="Arial" w:cs="Arial"/>
                <w:sz w:val="22"/>
                <w:szCs w:val="22"/>
              </w:rPr>
            </w:pPr>
          </w:p>
          <w:p w14:paraId="60671F79" w14:textId="37BA87EE" w:rsidR="00256BE9" w:rsidRPr="00C45C35" w:rsidRDefault="00256BE9" w:rsidP="00256BE9">
            <w:pPr>
              <w:rPr>
                <w:rFonts w:ascii="Arial" w:hAnsi="Arial" w:cs="Arial"/>
                <w:sz w:val="22"/>
                <w:szCs w:val="22"/>
              </w:rPr>
            </w:pPr>
          </w:p>
        </w:tc>
        <w:tc>
          <w:tcPr>
            <w:tcW w:w="2631" w:type="dxa"/>
          </w:tcPr>
          <w:p w14:paraId="6F2F605D" w14:textId="4C309E50" w:rsidR="00256BE9" w:rsidRPr="00973AFD" w:rsidRDefault="00256BE9" w:rsidP="00256BE9">
            <w:pPr>
              <w:rPr>
                <w:rFonts w:ascii="Arial" w:hAnsi="Arial" w:cs="Arial"/>
                <w:sz w:val="22"/>
                <w:szCs w:val="22"/>
              </w:rPr>
            </w:pPr>
          </w:p>
        </w:tc>
        <w:tc>
          <w:tcPr>
            <w:tcW w:w="2430" w:type="dxa"/>
          </w:tcPr>
          <w:p w14:paraId="65F7CD6A" w14:textId="77777777" w:rsidR="00256BE9" w:rsidRPr="00973AFD" w:rsidRDefault="00256BE9" w:rsidP="00256BE9">
            <w:pPr>
              <w:rPr>
                <w:rFonts w:ascii="Arial" w:hAnsi="Arial" w:cs="Arial"/>
                <w:sz w:val="22"/>
                <w:szCs w:val="22"/>
              </w:rPr>
            </w:pPr>
          </w:p>
        </w:tc>
        <w:tc>
          <w:tcPr>
            <w:tcW w:w="2430" w:type="dxa"/>
          </w:tcPr>
          <w:p w14:paraId="05FBC343" w14:textId="302A6880" w:rsidR="00256BE9" w:rsidRPr="00973AFD" w:rsidRDefault="00256BE9" w:rsidP="00256BE9">
            <w:pPr>
              <w:rPr>
                <w:rFonts w:ascii="Arial" w:hAnsi="Arial" w:cs="Arial"/>
                <w:sz w:val="22"/>
                <w:szCs w:val="22"/>
              </w:rPr>
            </w:pPr>
          </w:p>
        </w:tc>
        <w:tc>
          <w:tcPr>
            <w:tcW w:w="2610" w:type="dxa"/>
          </w:tcPr>
          <w:p w14:paraId="544D0CC6" w14:textId="77777777" w:rsidR="00256BE9" w:rsidRPr="00973AFD" w:rsidRDefault="00256BE9" w:rsidP="00256BE9">
            <w:pPr>
              <w:rPr>
                <w:rFonts w:ascii="Arial" w:hAnsi="Arial" w:cs="Arial"/>
                <w:sz w:val="22"/>
                <w:szCs w:val="22"/>
              </w:rPr>
            </w:pPr>
          </w:p>
        </w:tc>
        <w:tc>
          <w:tcPr>
            <w:tcW w:w="2610" w:type="dxa"/>
          </w:tcPr>
          <w:p w14:paraId="349D46E4" w14:textId="77777777" w:rsidR="00256BE9" w:rsidRPr="00973AFD" w:rsidRDefault="00256BE9" w:rsidP="00256BE9">
            <w:pPr>
              <w:rPr>
                <w:rFonts w:ascii="Arial" w:hAnsi="Arial" w:cs="Arial"/>
                <w:sz w:val="22"/>
                <w:szCs w:val="22"/>
              </w:rPr>
            </w:pPr>
          </w:p>
        </w:tc>
      </w:tr>
      <w:tr w:rsidR="00256BE9" w:rsidRPr="00973AFD" w14:paraId="4BA66047" w14:textId="10B55DFD" w:rsidTr="00256BE9">
        <w:tc>
          <w:tcPr>
            <w:tcW w:w="1698" w:type="dxa"/>
          </w:tcPr>
          <w:p w14:paraId="38E8E8C1" w14:textId="77777777" w:rsidR="00256BE9" w:rsidRPr="00973AFD" w:rsidRDefault="00256BE9" w:rsidP="00256BE9">
            <w:pPr>
              <w:rPr>
                <w:rStyle w:val="markedcontent"/>
                <w:rFonts w:ascii="Arial" w:hAnsi="Arial" w:cs="Arial"/>
                <w:sz w:val="22"/>
                <w:szCs w:val="22"/>
              </w:rPr>
            </w:pPr>
          </w:p>
        </w:tc>
        <w:tc>
          <w:tcPr>
            <w:tcW w:w="2506" w:type="dxa"/>
          </w:tcPr>
          <w:p w14:paraId="5A360170" w14:textId="77777777" w:rsidR="00256BE9" w:rsidRPr="00C45C35" w:rsidRDefault="00256BE9" w:rsidP="00256BE9">
            <w:pPr>
              <w:rPr>
                <w:rFonts w:ascii="Arial" w:hAnsi="Arial" w:cs="Arial"/>
                <w:sz w:val="22"/>
                <w:szCs w:val="22"/>
              </w:rPr>
            </w:pPr>
          </w:p>
        </w:tc>
        <w:tc>
          <w:tcPr>
            <w:tcW w:w="2631" w:type="dxa"/>
          </w:tcPr>
          <w:p w14:paraId="2ADC0F72" w14:textId="60CA5B55"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#12: A utilization review entity requiring health care providers to adhere to prior authorization protocols should accept and respond to prior authorization and step-therapy override requests exclusively through secure electronic transmissions using the standard electronic transactions for pharmacy and medical services benefits. Facsimile, proprietary payer web-based portals, telephone discussions and nonstandard electronic forms shall not be considered electronic transmissions. </w:t>
            </w:r>
          </w:p>
          <w:p w14:paraId="64E210E8" w14:textId="77777777" w:rsidR="00256BE9" w:rsidRPr="00973AFD" w:rsidRDefault="00256BE9" w:rsidP="00256BE9">
            <w:pPr>
              <w:rPr>
                <w:rStyle w:val="markedcontent"/>
                <w:rFonts w:ascii="Arial" w:hAnsi="Arial" w:cs="Arial"/>
                <w:sz w:val="22"/>
                <w:szCs w:val="22"/>
              </w:rPr>
            </w:pPr>
          </w:p>
        </w:tc>
        <w:tc>
          <w:tcPr>
            <w:tcW w:w="2430" w:type="dxa"/>
          </w:tcPr>
          <w:p w14:paraId="31663A73" w14:textId="77777777" w:rsidR="00256BE9" w:rsidRPr="00973AFD" w:rsidRDefault="00256BE9" w:rsidP="00256BE9">
            <w:pPr>
              <w:rPr>
                <w:rFonts w:ascii="Arial" w:hAnsi="Arial" w:cs="Arial"/>
                <w:sz w:val="22"/>
                <w:szCs w:val="22"/>
              </w:rPr>
            </w:pPr>
          </w:p>
        </w:tc>
        <w:tc>
          <w:tcPr>
            <w:tcW w:w="2430" w:type="dxa"/>
          </w:tcPr>
          <w:p w14:paraId="61C996F6" w14:textId="6E905052" w:rsidR="00256BE9" w:rsidRPr="00973AFD" w:rsidRDefault="00256BE9" w:rsidP="00256BE9">
            <w:pPr>
              <w:rPr>
                <w:rFonts w:ascii="Arial" w:hAnsi="Arial" w:cs="Arial"/>
                <w:sz w:val="22"/>
                <w:szCs w:val="22"/>
              </w:rPr>
            </w:pPr>
          </w:p>
        </w:tc>
        <w:tc>
          <w:tcPr>
            <w:tcW w:w="2610" w:type="dxa"/>
          </w:tcPr>
          <w:p w14:paraId="4E4DC467" w14:textId="77777777" w:rsidR="00256BE9" w:rsidRPr="00973AFD" w:rsidRDefault="00256BE9" w:rsidP="00256BE9">
            <w:pPr>
              <w:rPr>
                <w:rFonts w:ascii="Arial" w:hAnsi="Arial" w:cs="Arial"/>
                <w:sz w:val="22"/>
                <w:szCs w:val="22"/>
              </w:rPr>
            </w:pPr>
          </w:p>
        </w:tc>
        <w:tc>
          <w:tcPr>
            <w:tcW w:w="2610" w:type="dxa"/>
          </w:tcPr>
          <w:p w14:paraId="18E37F7D" w14:textId="77777777" w:rsidR="00256BE9" w:rsidRPr="00973AFD" w:rsidRDefault="00256BE9" w:rsidP="00256BE9">
            <w:pPr>
              <w:rPr>
                <w:rFonts w:ascii="Arial" w:hAnsi="Arial" w:cs="Arial"/>
                <w:sz w:val="22"/>
                <w:szCs w:val="22"/>
              </w:rPr>
            </w:pPr>
          </w:p>
        </w:tc>
      </w:tr>
      <w:tr w:rsidR="00256BE9" w:rsidRPr="00973AFD" w14:paraId="27D4BDA3" w14:textId="6A9EAA4F" w:rsidTr="00256BE9">
        <w:tc>
          <w:tcPr>
            <w:tcW w:w="1698" w:type="dxa"/>
          </w:tcPr>
          <w:p w14:paraId="4E6E8FE3" w14:textId="77777777" w:rsidR="00256BE9" w:rsidRPr="00973AFD" w:rsidRDefault="00256BE9" w:rsidP="00256BE9">
            <w:pPr>
              <w:rPr>
                <w:rStyle w:val="markedcontent"/>
                <w:rFonts w:ascii="Arial" w:hAnsi="Arial" w:cs="Arial"/>
                <w:sz w:val="22"/>
                <w:szCs w:val="22"/>
              </w:rPr>
            </w:pPr>
          </w:p>
        </w:tc>
        <w:tc>
          <w:tcPr>
            <w:tcW w:w="2506" w:type="dxa"/>
          </w:tcPr>
          <w:p w14:paraId="0292E7A3" w14:textId="77777777" w:rsidR="00256BE9" w:rsidRPr="00C45C35" w:rsidRDefault="00256BE9" w:rsidP="00256BE9">
            <w:pPr>
              <w:rPr>
                <w:rFonts w:ascii="Arial" w:hAnsi="Arial" w:cs="Arial"/>
                <w:sz w:val="22"/>
                <w:szCs w:val="22"/>
              </w:rPr>
            </w:pPr>
          </w:p>
        </w:tc>
        <w:tc>
          <w:tcPr>
            <w:tcW w:w="2631" w:type="dxa"/>
          </w:tcPr>
          <w:p w14:paraId="2F0BD416" w14:textId="4E1EB48E" w:rsidR="00256BE9" w:rsidRPr="00973AFD" w:rsidRDefault="00256BE9" w:rsidP="00256BE9">
            <w:pPr>
              <w:rPr>
                <w:rStyle w:val="markedcontent"/>
                <w:rFonts w:ascii="Arial" w:hAnsi="Arial" w:cs="Arial"/>
                <w:sz w:val="22"/>
                <w:szCs w:val="22"/>
              </w:rPr>
            </w:pPr>
            <w:r w:rsidRPr="00973AFD">
              <w:rPr>
                <w:rStyle w:val="markedcontent"/>
                <w:rFonts w:ascii="Arial" w:hAnsi="Arial" w:cs="Arial"/>
                <w:sz w:val="22"/>
                <w:szCs w:val="22"/>
              </w:rPr>
              <w:t>Principle #13: Eligibility and all other medical policy coverage determinations should be performed as part of the prior authorization process. Patients and physicians should be able to rely on an authorization as a commitment to coverage and payment of the corresponding claim.</w:t>
            </w:r>
          </w:p>
          <w:p w14:paraId="58CD0878" w14:textId="77777777" w:rsidR="00256BE9" w:rsidRPr="00973AFD" w:rsidRDefault="00256BE9" w:rsidP="00256BE9">
            <w:pPr>
              <w:rPr>
                <w:rStyle w:val="markedcontent"/>
                <w:rFonts w:ascii="Arial" w:hAnsi="Arial" w:cs="Arial"/>
                <w:sz w:val="22"/>
                <w:szCs w:val="22"/>
              </w:rPr>
            </w:pPr>
          </w:p>
        </w:tc>
        <w:tc>
          <w:tcPr>
            <w:tcW w:w="2430" w:type="dxa"/>
          </w:tcPr>
          <w:p w14:paraId="705D5713" w14:textId="77777777" w:rsidR="00256BE9" w:rsidRPr="00973AFD" w:rsidRDefault="00256BE9" w:rsidP="00256BE9">
            <w:pPr>
              <w:rPr>
                <w:rFonts w:ascii="Arial" w:hAnsi="Arial" w:cs="Arial"/>
                <w:sz w:val="22"/>
                <w:szCs w:val="22"/>
              </w:rPr>
            </w:pPr>
          </w:p>
        </w:tc>
        <w:tc>
          <w:tcPr>
            <w:tcW w:w="2430" w:type="dxa"/>
          </w:tcPr>
          <w:p w14:paraId="626B72CA" w14:textId="39DD0D8B" w:rsidR="00256BE9" w:rsidRPr="00973AFD" w:rsidRDefault="00256BE9" w:rsidP="00256BE9">
            <w:pPr>
              <w:rPr>
                <w:rFonts w:ascii="Arial" w:hAnsi="Arial" w:cs="Arial"/>
                <w:sz w:val="22"/>
                <w:szCs w:val="22"/>
              </w:rPr>
            </w:pPr>
          </w:p>
        </w:tc>
        <w:tc>
          <w:tcPr>
            <w:tcW w:w="2610" w:type="dxa"/>
          </w:tcPr>
          <w:p w14:paraId="4A5A631A" w14:textId="77777777" w:rsidR="00256BE9" w:rsidRPr="00973AFD" w:rsidRDefault="00256BE9" w:rsidP="00256BE9">
            <w:pPr>
              <w:rPr>
                <w:rFonts w:ascii="Arial" w:hAnsi="Arial" w:cs="Arial"/>
                <w:sz w:val="22"/>
                <w:szCs w:val="22"/>
              </w:rPr>
            </w:pPr>
          </w:p>
        </w:tc>
        <w:tc>
          <w:tcPr>
            <w:tcW w:w="2610" w:type="dxa"/>
          </w:tcPr>
          <w:p w14:paraId="63F898F9" w14:textId="77777777" w:rsidR="00256BE9" w:rsidRPr="00973AFD" w:rsidRDefault="00256BE9" w:rsidP="00256BE9">
            <w:pPr>
              <w:rPr>
                <w:rFonts w:ascii="Arial" w:hAnsi="Arial" w:cs="Arial"/>
                <w:sz w:val="22"/>
                <w:szCs w:val="22"/>
              </w:rPr>
            </w:pPr>
          </w:p>
        </w:tc>
      </w:tr>
      <w:tr w:rsidR="00256BE9" w:rsidRPr="00973AFD" w14:paraId="04076D88" w14:textId="53118776" w:rsidTr="00256BE9">
        <w:tc>
          <w:tcPr>
            <w:tcW w:w="1698" w:type="dxa"/>
          </w:tcPr>
          <w:p w14:paraId="756A290C" w14:textId="77777777" w:rsidR="00256BE9" w:rsidRPr="00973AFD" w:rsidRDefault="00256BE9" w:rsidP="00256BE9">
            <w:pPr>
              <w:rPr>
                <w:rStyle w:val="markedcontent"/>
                <w:rFonts w:ascii="Arial" w:hAnsi="Arial" w:cs="Arial"/>
                <w:sz w:val="22"/>
                <w:szCs w:val="22"/>
              </w:rPr>
            </w:pPr>
          </w:p>
        </w:tc>
        <w:tc>
          <w:tcPr>
            <w:tcW w:w="2506" w:type="dxa"/>
          </w:tcPr>
          <w:p w14:paraId="04B5BA1C" w14:textId="77777777" w:rsidR="00256BE9" w:rsidRPr="00C45C35" w:rsidRDefault="00256BE9" w:rsidP="00256BE9">
            <w:pPr>
              <w:rPr>
                <w:rFonts w:ascii="Arial" w:hAnsi="Arial" w:cs="Arial"/>
                <w:sz w:val="22"/>
                <w:szCs w:val="22"/>
              </w:rPr>
            </w:pPr>
          </w:p>
        </w:tc>
        <w:tc>
          <w:tcPr>
            <w:tcW w:w="2631" w:type="dxa"/>
          </w:tcPr>
          <w:p w14:paraId="32FB045B" w14:textId="0B017BEA"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#14: In order to allow sufficient time for care delivery, a utilization review entity should not revoke, limit, condition or restrict coverage for authorized care provided within 45 business days from the date authorization was received. </w:t>
            </w:r>
          </w:p>
          <w:p w14:paraId="4AB16451" w14:textId="77777777" w:rsidR="00256BE9" w:rsidRPr="00973AFD" w:rsidRDefault="00256BE9" w:rsidP="00256BE9">
            <w:pPr>
              <w:rPr>
                <w:rStyle w:val="markedcontent"/>
                <w:rFonts w:ascii="Arial" w:hAnsi="Arial" w:cs="Arial"/>
                <w:sz w:val="22"/>
                <w:szCs w:val="22"/>
              </w:rPr>
            </w:pPr>
          </w:p>
        </w:tc>
        <w:tc>
          <w:tcPr>
            <w:tcW w:w="2430" w:type="dxa"/>
          </w:tcPr>
          <w:p w14:paraId="51EF6B33" w14:textId="77777777" w:rsidR="00256BE9" w:rsidRPr="00973AFD" w:rsidRDefault="00256BE9" w:rsidP="00256BE9">
            <w:pPr>
              <w:rPr>
                <w:rFonts w:ascii="Arial" w:hAnsi="Arial" w:cs="Arial"/>
                <w:sz w:val="22"/>
                <w:szCs w:val="22"/>
              </w:rPr>
            </w:pPr>
          </w:p>
        </w:tc>
        <w:tc>
          <w:tcPr>
            <w:tcW w:w="2430" w:type="dxa"/>
          </w:tcPr>
          <w:p w14:paraId="07C9226B" w14:textId="47E25BFA" w:rsidR="00256BE9" w:rsidRPr="00973AFD" w:rsidRDefault="00256BE9" w:rsidP="00256BE9">
            <w:pPr>
              <w:rPr>
                <w:rFonts w:ascii="Arial" w:hAnsi="Arial" w:cs="Arial"/>
                <w:sz w:val="22"/>
                <w:szCs w:val="22"/>
              </w:rPr>
            </w:pPr>
          </w:p>
        </w:tc>
        <w:tc>
          <w:tcPr>
            <w:tcW w:w="2610" w:type="dxa"/>
          </w:tcPr>
          <w:p w14:paraId="6633F914" w14:textId="77777777" w:rsidR="00256BE9" w:rsidRPr="00973AFD" w:rsidRDefault="00256BE9" w:rsidP="00256BE9">
            <w:pPr>
              <w:rPr>
                <w:rFonts w:ascii="Arial" w:hAnsi="Arial" w:cs="Arial"/>
                <w:sz w:val="22"/>
                <w:szCs w:val="22"/>
              </w:rPr>
            </w:pPr>
          </w:p>
        </w:tc>
        <w:tc>
          <w:tcPr>
            <w:tcW w:w="2610" w:type="dxa"/>
          </w:tcPr>
          <w:p w14:paraId="62868F22" w14:textId="77777777" w:rsidR="00256BE9" w:rsidRPr="00973AFD" w:rsidRDefault="00256BE9" w:rsidP="00256BE9">
            <w:pPr>
              <w:rPr>
                <w:rFonts w:ascii="Arial" w:hAnsi="Arial" w:cs="Arial"/>
                <w:sz w:val="22"/>
                <w:szCs w:val="22"/>
              </w:rPr>
            </w:pPr>
          </w:p>
        </w:tc>
      </w:tr>
      <w:tr w:rsidR="00256BE9" w:rsidRPr="00973AFD" w14:paraId="12302CFC" w14:textId="5F2E0050" w:rsidTr="00256BE9">
        <w:tc>
          <w:tcPr>
            <w:tcW w:w="1698" w:type="dxa"/>
          </w:tcPr>
          <w:p w14:paraId="38EE3E14" w14:textId="77777777" w:rsidR="00256BE9" w:rsidRPr="00973AFD" w:rsidRDefault="00256BE9" w:rsidP="00256BE9">
            <w:pPr>
              <w:rPr>
                <w:rStyle w:val="markedcontent"/>
                <w:rFonts w:ascii="Arial" w:hAnsi="Arial" w:cs="Arial"/>
                <w:sz w:val="22"/>
                <w:szCs w:val="22"/>
              </w:rPr>
            </w:pPr>
          </w:p>
        </w:tc>
        <w:tc>
          <w:tcPr>
            <w:tcW w:w="2506" w:type="dxa"/>
          </w:tcPr>
          <w:p w14:paraId="26D047CE" w14:textId="77777777" w:rsidR="00256BE9" w:rsidRPr="00C45C35" w:rsidRDefault="00256BE9" w:rsidP="00256BE9">
            <w:pPr>
              <w:rPr>
                <w:rFonts w:ascii="Arial" w:hAnsi="Arial" w:cs="Arial"/>
                <w:sz w:val="22"/>
                <w:szCs w:val="22"/>
              </w:rPr>
            </w:pPr>
          </w:p>
        </w:tc>
        <w:tc>
          <w:tcPr>
            <w:tcW w:w="2631" w:type="dxa"/>
          </w:tcPr>
          <w:p w14:paraId="266285D5" w14:textId="52FB68B1"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#15: If a utilization review entity requires prior authorization for non-urgent care, the entity should </w:t>
            </w:r>
            <w:proofErr w:type="gramStart"/>
            <w:r w:rsidRPr="00973AFD">
              <w:rPr>
                <w:rStyle w:val="markedcontent"/>
                <w:rFonts w:ascii="Arial" w:hAnsi="Arial" w:cs="Arial"/>
                <w:sz w:val="22"/>
                <w:szCs w:val="22"/>
              </w:rPr>
              <w:t xml:space="preserve">make a </w:t>
            </w:r>
            <w:r w:rsidRPr="00973AFD">
              <w:rPr>
                <w:rStyle w:val="markedcontent"/>
                <w:rFonts w:ascii="Arial" w:hAnsi="Arial" w:cs="Arial"/>
                <w:sz w:val="22"/>
                <w:szCs w:val="22"/>
              </w:rPr>
              <w:lastRenderedPageBreak/>
              <w:t>determination</w:t>
            </w:r>
            <w:proofErr w:type="gramEnd"/>
            <w:r w:rsidRPr="00973AFD">
              <w:rPr>
                <w:rStyle w:val="markedcontent"/>
                <w:rFonts w:ascii="Arial" w:hAnsi="Arial" w:cs="Arial"/>
                <w:sz w:val="22"/>
                <w:szCs w:val="22"/>
              </w:rPr>
              <w:t xml:space="preserve"> and notify the provider within 48 hours of obtaining all necessary information. For urgent care, the determination should be made within 24 hours of obtaining all necessary information. </w:t>
            </w:r>
          </w:p>
          <w:p w14:paraId="1F5F68B4" w14:textId="77777777" w:rsidR="00256BE9" w:rsidRPr="00973AFD" w:rsidRDefault="00256BE9" w:rsidP="00256BE9">
            <w:pPr>
              <w:rPr>
                <w:rStyle w:val="markedcontent"/>
                <w:rFonts w:ascii="Arial" w:hAnsi="Arial" w:cs="Arial"/>
                <w:sz w:val="22"/>
                <w:szCs w:val="22"/>
              </w:rPr>
            </w:pPr>
          </w:p>
        </w:tc>
        <w:tc>
          <w:tcPr>
            <w:tcW w:w="2430" w:type="dxa"/>
          </w:tcPr>
          <w:p w14:paraId="66D920BA" w14:textId="77777777" w:rsidR="00256BE9" w:rsidRPr="00973AFD" w:rsidRDefault="00256BE9" w:rsidP="00256BE9">
            <w:pPr>
              <w:rPr>
                <w:rFonts w:ascii="Arial" w:hAnsi="Arial" w:cs="Arial"/>
                <w:sz w:val="22"/>
                <w:szCs w:val="22"/>
              </w:rPr>
            </w:pPr>
          </w:p>
        </w:tc>
        <w:tc>
          <w:tcPr>
            <w:tcW w:w="2430" w:type="dxa"/>
          </w:tcPr>
          <w:p w14:paraId="3097F018" w14:textId="68F05426" w:rsidR="00256BE9" w:rsidRPr="00973AFD" w:rsidRDefault="00256BE9" w:rsidP="00256BE9">
            <w:pPr>
              <w:rPr>
                <w:rFonts w:ascii="Arial" w:hAnsi="Arial" w:cs="Arial"/>
                <w:sz w:val="22"/>
                <w:szCs w:val="22"/>
              </w:rPr>
            </w:pPr>
          </w:p>
        </w:tc>
        <w:tc>
          <w:tcPr>
            <w:tcW w:w="2610" w:type="dxa"/>
          </w:tcPr>
          <w:p w14:paraId="1F48D0C5" w14:textId="77777777" w:rsidR="00256BE9" w:rsidRPr="00581D1A" w:rsidRDefault="00256BE9" w:rsidP="00256BE9">
            <w:pPr>
              <w:rPr>
                <w:rFonts w:ascii="Arial" w:hAnsi="Arial" w:cs="Arial"/>
                <w:sz w:val="22"/>
                <w:szCs w:val="22"/>
              </w:rPr>
            </w:pPr>
            <w:r>
              <w:rPr>
                <w:rFonts w:ascii="Arial" w:hAnsi="Arial" w:cs="Arial"/>
                <w:sz w:val="22"/>
                <w:szCs w:val="22"/>
              </w:rPr>
              <w:t xml:space="preserve">33-46-4 (21) </w:t>
            </w:r>
            <w:r w:rsidRPr="00581D1A">
              <w:rPr>
                <w:rFonts w:ascii="Arial" w:hAnsi="Arial" w:cs="Arial"/>
                <w:sz w:val="22"/>
                <w:szCs w:val="22"/>
              </w:rPr>
              <w:t>'Urgent healthcare service' means a healthcare service with respect to which the</w:t>
            </w:r>
            <w:r>
              <w:rPr>
                <w:rFonts w:ascii="Arial" w:hAnsi="Arial" w:cs="Arial"/>
                <w:sz w:val="22"/>
                <w:szCs w:val="22"/>
              </w:rPr>
              <w:t xml:space="preserve"> </w:t>
            </w:r>
            <w:r w:rsidRPr="00581D1A">
              <w:rPr>
                <w:rFonts w:ascii="Arial" w:hAnsi="Arial" w:cs="Arial"/>
                <w:sz w:val="22"/>
                <w:szCs w:val="22"/>
              </w:rPr>
              <w:t xml:space="preserve">application of the time periods for </w:t>
            </w:r>
            <w:r w:rsidRPr="00581D1A">
              <w:rPr>
                <w:rFonts w:ascii="Arial" w:hAnsi="Arial" w:cs="Arial"/>
                <w:sz w:val="22"/>
                <w:szCs w:val="22"/>
              </w:rPr>
              <w:lastRenderedPageBreak/>
              <w:t xml:space="preserve">making a </w:t>
            </w:r>
            <w:proofErr w:type="spellStart"/>
            <w:r w:rsidRPr="00581D1A">
              <w:rPr>
                <w:rFonts w:ascii="Arial" w:hAnsi="Arial" w:cs="Arial"/>
                <w:sz w:val="22"/>
                <w:szCs w:val="22"/>
              </w:rPr>
              <w:t>nonexpedited</w:t>
            </w:r>
            <w:proofErr w:type="spellEnd"/>
            <w:r w:rsidRPr="00581D1A">
              <w:rPr>
                <w:rFonts w:ascii="Arial" w:hAnsi="Arial" w:cs="Arial"/>
                <w:sz w:val="22"/>
                <w:szCs w:val="22"/>
              </w:rPr>
              <w:t xml:space="preserve"> prior authorization, which, in</w:t>
            </w:r>
            <w:r>
              <w:rPr>
                <w:rFonts w:ascii="Arial" w:hAnsi="Arial" w:cs="Arial"/>
                <w:sz w:val="22"/>
                <w:szCs w:val="22"/>
              </w:rPr>
              <w:t xml:space="preserve"> </w:t>
            </w:r>
            <w:r w:rsidRPr="00581D1A">
              <w:rPr>
                <w:rFonts w:ascii="Arial" w:hAnsi="Arial" w:cs="Arial"/>
                <w:sz w:val="22"/>
                <w:szCs w:val="22"/>
              </w:rPr>
              <w:t>the opinion of a physician or other healthcare provider with knowledge of the covered</w:t>
            </w:r>
            <w:r>
              <w:rPr>
                <w:rFonts w:ascii="Arial" w:hAnsi="Arial" w:cs="Arial"/>
                <w:sz w:val="22"/>
                <w:szCs w:val="22"/>
              </w:rPr>
              <w:t xml:space="preserve"> </w:t>
            </w:r>
            <w:r w:rsidRPr="00581D1A">
              <w:rPr>
                <w:rFonts w:ascii="Arial" w:hAnsi="Arial" w:cs="Arial"/>
                <w:sz w:val="22"/>
                <w:szCs w:val="22"/>
              </w:rPr>
              <w:t>person's medical condition:</w:t>
            </w:r>
          </w:p>
          <w:p w14:paraId="477DC957" w14:textId="77777777" w:rsidR="00256BE9" w:rsidRDefault="00256BE9" w:rsidP="00256BE9">
            <w:pPr>
              <w:rPr>
                <w:rFonts w:ascii="Arial" w:hAnsi="Arial" w:cs="Arial"/>
                <w:sz w:val="22"/>
                <w:szCs w:val="22"/>
              </w:rPr>
            </w:pPr>
            <w:r w:rsidRPr="00581D1A">
              <w:rPr>
                <w:rFonts w:ascii="Arial" w:hAnsi="Arial" w:cs="Arial"/>
                <w:sz w:val="22"/>
                <w:szCs w:val="22"/>
              </w:rPr>
              <w:t>(A) Could seriously jeopardize the life or health of the covered person or the ability of</w:t>
            </w:r>
            <w:r>
              <w:rPr>
                <w:rFonts w:ascii="Arial" w:hAnsi="Arial" w:cs="Arial"/>
                <w:sz w:val="22"/>
                <w:szCs w:val="22"/>
              </w:rPr>
              <w:t xml:space="preserve"> </w:t>
            </w:r>
            <w:r w:rsidRPr="00581D1A">
              <w:rPr>
                <w:rFonts w:ascii="Arial" w:hAnsi="Arial" w:cs="Arial"/>
                <w:sz w:val="22"/>
                <w:szCs w:val="22"/>
              </w:rPr>
              <w:t>such person to regain maximum function; or</w:t>
            </w:r>
          </w:p>
          <w:p w14:paraId="3FA1FC27" w14:textId="77777777" w:rsidR="00256BE9" w:rsidRPr="00581D1A" w:rsidRDefault="00256BE9" w:rsidP="00256BE9">
            <w:pPr>
              <w:rPr>
                <w:rFonts w:ascii="Arial" w:hAnsi="Arial" w:cs="Arial"/>
                <w:sz w:val="22"/>
                <w:szCs w:val="22"/>
              </w:rPr>
            </w:pPr>
            <w:r w:rsidRPr="00581D1A">
              <w:rPr>
                <w:rFonts w:ascii="Arial" w:hAnsi="Arial" w:cs="Arial"/>
                <w:sz w:val="22"/>
                <w:szCs w:val="22"/>
              </w:rPr>
              <w:t>(B) Could subject the covered person to severe pain that cannot be adequately managed</w:t>
            </w:r>
            <w:r>
              <w:rPr>
                <w:rFonts w:ascii="Arial" w:hAnsi="Arial" w:cs="Arial"/>
                <w:sz w:val="22"/>
                <w:szCs w:val="22"/>
              </w:rPr>
              <w:t xml:space="preserve"> </w:t>
            </w:r>
            <w:r w:rsidRPr="00581D1A">
              <w:rPr>
                <w:rFonts w:ascii="Arial" w:hAnsi="Arial" w:cs="Arial"/>
                <w:sz w:val="22"/>
                <w:szCs w:val="22"/>
              </w:rPr>
              <w:t>without the care or treatment that is the subject of the utilization review.</w:t>
            </w:r>
            <w:r>
              <w:rPr>
                <w:rFonts w:ascii="Arial" w:hAnsi="Arial" w:cs="Arial"/>
                <w:sz w:val="22"/>
                <w:szCs w:val="22"/>
              </w:rPr>
              <w:t xml:space="preserve"> </w:t>
            </w:r>
            <w:r w:rsidRPr="00581D1A">
              <w:rPr>
                <w:rFonts w:ascii="Arial" w:hAnsi="Arial" w:cs="Arial"/>
                <w:sz w:val="22"/>
                <w:szCs w:val="22"/>
              </w:rPr>
              <w:t>Such term shall include services provided for the treatment of substance use disorders</w:t>
            </w:r>
          </w:p>
          <w:p w14:paraId="2F220E2E" w14:textId="44532D13" w:rsidR="00256BE9" w:rsidRPr="00973AFD" w:rsidRDefault="00256BE9" w:rsidP="00256BE9">
            <w:pPr>
              <w:rPr>
                <w:rFonts w:ascii="Arial" w:hAnsi="Arial" w:cs="Arial"/>
                <w:sz w:val="22"/>
                <w:szCs w:val="22"/>
              </w:rPr>
            </w:pPr>
            <w:r w:rsidRPr="00581D1A">
              <w:rPr>
                <w:rFonts w:ascii="Arial" w:hAnsi="Arial" w:cs="Arial"/>
                <w:sz w:val="22"/>
                <w:szCs w:val="22"/>
              </w:rPr>
              <w:t>which otherwise qualify as an urgent healthcare service.</w:t>
            </w:r>
          </w:p>
        </w:tc>
        <w:tc>
          <w:tcPr>
            <w:tcW w:w="2610" w:type="dxa"/>
          </w:tcPr>
          <w:p w14:paraId="02CEEBA9" w14:textId="77777777" w:rsidR="00256BE9" w:rsidRDefault="00256BE9" w:rsidP="00256BE9">
            <w:pPr>
              <w:rPr>
                <w:rFonts w:ascii="Arial" w:hAnsi="Arial" w:cs="Arial"/>
                <w:sz w:val="22"/>
                <w:szCs w:val="22"/>
              </w:rPr>
            </w:pPr>
          </w:p>
        </w:tc>
      </w:tr>
      <w:tr w:rsidR="00256BE9" w:rsidRPr="00973AFD" w14:paraId="188384B2" w14:textId="573369C4" w:rsidTr="00256BE9">
        <w:tc>
          <w:tcPr>
            <w:tcW w:w="1698" w:type="dxa"/>
          </w:tcPr>
          <w:p w14:paraId="7F5F434D" w14:textId="77777777" w:rsidR="00256BE9" w:rsidRPr="00973AFD" w:rsidRDefault="00256BE9" w:rsidP="00256BE9">
            <w:pPr>
              <w:rPr>
                <w:rStyle w:val="markedcontent"/>
                <w:rFonts w:ascii="Arial" w:hAnsi="Arial" w:cs="Arial"/>
                <w:sz w:val="22"/>
                <w:szCs w:val="22"/>
              </w:rPr>
            </w:pPr>
          </w:p>
        </w:tc>
        <w:tc>
          <w:tcPr>
            <w:tcW w:w="2506" w:type="dxa"/>
          </w:tcPr>
          <w:p w14:paraId="04A5E6E0" w14:textId="77777777" w:rsidR="00256BE9" w:rsidRPr="00C45C35" w:rsidRDefault="00256BE9" w:rsidP="00256BE9">
            <w:pPr>
              <w:rPr>
                <w:rFonts w:ascii="Arial" w:hAnsi="Arial" w:cs="Arial"/>
                <w:color w:val="000000"/>
                <w:sz w:val="22"/>
                <w:szCs w:val="22"/>
              </w:rPr>
            </w:pPr>
          </w:p>
        </w:tc>
        <w:tc>
          <w:tcPr>
            <w:tcW w:w="2631" w:type="dxa"/>
          </w:tcPr>
          <w:p w14:paraId="6B96C343" w14:textId="77777777" w:rsidR="00256BE9" w:rsidRPr="00973AFD" w:rsidRDefault="00256BE9" w:rsidP="00256BE9">
            <w:pPr>
              <w:rPr>
                <w:rStyle w:val="markedcontent"/>
                <w:rFonts w:ascii="Arial" w:hAnsi="Arial" w:cs="Arial"/>
                <w:sz w:val="22"/>
                <w:szCs w:val="22"/>
              </w:rPr>
            </w:pPr>
          </w:p>
        </w:tc>
        <w:tc>
          <w:tcPr>
            <w:tcW w:w="2430" w:type="dxa"/>
          </w:tcPr>
          <w:p w14:paraId="729FF57E" w14:textId="77777777" w:rsidR="00256BE9" w:rsidRPr="00973AFD" w:rsidRDefault="00256BE9" w:rsidP="00256BE9">
            <w:pPr>
              <w:rPr>
                <w:rFonts w:ascii="Arial" w:hAnsi="Arial" w:cs="Arial"/>
                <w:sz w:val="22"/>
                <w:szCs w:val="22"/>
              </w:rPr>
            </w:pPr>
          </w:p>
        </w:tc>
        <w:tc>
          <w:tcPr>
            <w:tcW w:w="2430" w:type="dxa"/>
          </w:tcPr>
          <w:p w14:paraId="225B02EF" w14:textId="32C96121" w:rsidR="00256BE9" w:rsidRPr="00973AFD" w:rsidRDefault="00256BE9" w:rsidP="00256BE9">
            <w:pPr>
              <w:rPr>
                <w:rFonts w:ascii="Arial" w:hAnsi="Arial" w:cs="Arial"/>
                <w:sz w:val="22"/>
                <w:szCs w:val="22"/>
              </w:rPr>
            </w:pPr>
          </w:p>
        </w:tc>
        <w:tc>
          <w:tcPr>
            <w:tcW w:w="2610" w:type="dxa"/>
          </w:tcPr>
          <w:p w14:paraId="45F501A0" w14:textId="77777777" w:rsidR="00256BE9" w:rsidRPr="006C0DBC" w:rsidRDefault="00256BE9" w:rsidP="00256BE9">
            <w:pPr>
              <w:rPr>
                <w:rFonts w:ascii="Arial" w:hAnsi="Arial" w:cs="Arial"/>
                <w:sz w:val="22"/>
                <w:szCs w:val="22"/>
              </w:rPr>
            </w:pPr>
            <w:r w:rsidRPr="006C0DBC">
              <w:rPr>
                <w:rFonts w:ascii="Arial" w:hAnsi="Arial" w:cs="Arial"/>
                <w:sz w:val="22"/>
                <w:szCs w:val="22"/>
              </w:rPr>
              <w:t>33-46-29.</w:t>
            </w:r>
            <w:r>
              <w:rPr>
                <w:rFonts w:ascii="Arial" w:hAnsi="Arial" w:cs="Arial"/>
                <w:sz w:val="22"/>
                <w:szCs w:val="22"/>
              </w:rPr>
              <w:t xml:space="preserve"> </w:t>
            </w:r>
            <w:r w:rsidRPr="006C0DBC">
              <w:rPr>
                <w:rFonts w:ascii="Arial" w:hAnsi="Arial" w:cs="Arial"/>
                <w:sz w:val="22"/>
                <w:szCs w:val="22"/>
              </w:rPr>
              <w:t xml:space="preserve">Each violation by a private review agent or utilization review entity of deadline </w:t>
            </w:r>
            <w:r w:rsidRPr="006C0DBC">
              <w:rPr>
                <w:rFonts w:ascii="Arial" w:hAnsi="Arial" w:cs="Arial"/>
                <w:sz w:val="22"/>
                <w:szCs w:val="22"/>
              </w:rPr>
              <w:lastRenderedPageBreak/>
              <w:t>or other</w:t>
            </w:r>
            <w:r>
              <w:rPr>
                <w:rFonts w:ascii="Arial" w:hAnsi="Arial" w:cs="Arial"/>
                <w:sz w:val="22"/>
                <w:szCs w:val="22"/>
              </w:rPr>
              <w:t xml:space="preserve"> </w:t>
            </w:r>
            <w:r w:rsidRPr="006C0DBC">
              <w:rPr>
                <w:rFonts w:ascii="Arial" w:hAnsi="Arial" w:cs="Arial"/>
                <w:sz w:val="22"/>
                <w:szCs w:val="22"/>
              </w:rPr>
              <w:t>requirements specified in this chapter shall result in the automatic authorization of</w:t>
            </w:r>
            <w:r>
              <w:rPr>
                <w:rFonts w:ascii="Arial" w:hAnsi="Arial" w:cs="Arial"/>
                <w:sz w:val="22"/>
                <w:szCs w:val="22"/>
              </w:rPr>
              <w:t xml:space="preserve"> </w:t>
            </w:r>
            <w:r w:rsidRPr="006C0DBC">
              <w:rPr>
                <w:rFonts w:ascii="Arial" w:hAnsi="Arial" w:cs="Arial"/>
                <w:sz w:val="22"/>
                <w:szCs w:val="22"/>
              </w:rPr>
              <w:t>healthcare services under review by such private review agent or utilization review entity</w:t>
            </w:r>
          </w:p>
          <w:p w14:paraId="634C3B27" w14:textId="77777777" w:rsidR="00256BE9" w:rsidRPr="006C0DBC" w:rsidRDefault="00256BE9" w:rsidP="00256BE9">
            <w:pPr>
              <w:rPr>
                <w:rFonts w:ascii="Arial" w:hAnsi="Arial" w:cs="Arial"/>
                <w:sz w:val="22"/>
                <w:szCs w:val="22"/>
              </w:rPr>
            </w:pPr>
            <w:r w:rsidRPr="006C0DBC">
              <w:rPr>
                <w:rFonts w:ascii="Arial" w:hAnsi="Arial" w:cs="Arial"/>
                <w:sz w:val="22"/>
                <w:szCs w:val="22"/>
              </w:rPr>
              <w:t>if such noncompliance is related to such services. Notwithstanding the foregoing,</w:t>
            </w:r>
            <w:r>
              <w:rPr>
                <w:rFonts w:ascii="Arial" w:hAnsi="Arial" w:cs="Arial"/>
                <w:sz w:val="22"/>
                <w:szCs w:val="22"/>
              </w:rPr>
              <w:t xml:space="preserve"> </w:t>
            </w:r>
            <w:r w:rsidRPr="006C0DBC">
              <w:rPr>
                <w:rFonts w:ascii="Arial" w:hAnsi="Arial" w:cs="Arial"/>
                <w:sz w:val="22"/>
                <w:szCs w:val="22"/>
              </w:rPr>
              <w:t xml:space="preserve">noncompliance based on a de </w:t>
            </w:r>
            <w:proofErr w:type="spellStart"/>
            <w:r w:rsidRPr="006C0DBC">
              <w:rPr>
                <w:rFonts w:ascii="Arial" w:hAnsi="Arial" w:cs="Arial"/>
                <w:sz w:val="22"/>
                <w:szCs w:val="22"/>
              </w:rPr>
              <w:t>minimis</w:t>
            </w:r>
            <w:proofErr w:type="spellEnd"/>
            <w:r w:rsidRPr="006C0DBC">
              <w:rPr>
                <w:rFonts w:ascii="Arial" w:hAnsi="Arial" w:cs="Arial"/>
                <w:sz w:val="22"/>
                <w:szCs w:val="22"/>
              </w:rPr>
              <w:t xml:space="preserve"> violation that does not cause, or is not likely to</w:t>
            </w:r>
            <w:r>
              <w:rPr>
                <w:rFonts w:ascii="Arial" w:hAnsi="Arial" w:cs="Arial"/>
                <w:sz w:val="22"/>
                <w:szCs w:val="22"/>
              </w:rPr>
              <w:t xml:space="preserve"> </w:t>
            </w:r>
            <w:r w:rsidRPr="006C0DBC">
              <w:rPr>
                <w:rFonts w:ascii="Arial" w:hAnsi="Arial" w:cs="Arial"/>
                <w:sz w:val="22"/>
                <w:szCs w:val="22"/>
              </w:rPr>
              <w:t>cause, prejudice or harm to the covered person shall not result in the automatic</w:t>
            </w:r>
            <w:r>
              <w:rPr>
                <w:rFonts w:ascii="Arial" w:hAnsi="Arial" w:cs="Arial"/>
                <w:sz w:val="22"/>
                <w:szCs w:val="22"/>
              </w:rPr>
              <w:t xml:space="preserve"> </w:t>
            </w:r>
            <w:r w:rsidRPr="006C0DBC">
              <w:rPr>
                <w:rFonts w:ascii="Arial" w:hAnsi="Arial" w:cs="Arial"/>
                <w:sz w:val="22"/>
                <w:szCs w:val="22"/>
              </w:rPr>
              <w:t>authorization of such healthcare services, so long as the insurer demonstrates that the</w:t>
            </w:r>
            <w:r>
              <w:rPr>
                <w:rFonts w:ascii="Arial" w:hAnsi="Arial" w:cs="Arial"/>
                <w:sz w:val="22"/>
                <w:szCs w:val="22"/>
              </w:rPr>
              <w:t xml:space="preserve"> </w:t>
            </w:r>
            <w:r w:rsidRPr="006C0DBC">
              <w:rPr>
                <w:rFonts w:ascii="Arial" w:hAnsi="Arial" w:cs="Arial"/>
                <w:sz w:val="22"/>
                <w:szCs w:val="22"/>
              </w:rPr>
              <w:t>violation occurred due to good cause or due to matters beyond the control of the insurer</w:t>
            </w:r>
            <w:r>
              <w:rPr>
                <w:rFonts w:ascii="Arial" w:hAnsi="Arial" w:cs="Arial"/>
                <w:sz w:val="22"/>
                <w:szCs w:val="22"/>
              </w:rPr>
              <w:t xml:space="preserve"> </w:t>
            </w:r>
            <w:r w:rsidRPr="006C0DBC">
              <w:rPr>
                <w:rFonts w:ascii="Arial" w:hAnsi="Arial" w:cs="Arial"/>
                <w:sz w:val="22"/>
                <w:szCs w:val="22"/>
              </w:rPr>
              <w:t>and that such violation occurred in the context of an ongoing good faith exchange of</w:t>
            </w:r>
            <w:r>
              <w:rPr>
                <w:rFonts w:ascii="Arial" w:hAnsi="Arial" w:cs="Arial"/>
                <w:sz w:val="22"/>
                <w:szCs w:val="22"/>
              </w:rPr>
              <w:t xml:space="preserve"> </w:t>
            </w:r>
            <w:r w:rsidRPr="006C0DBC">
              <w:rPr>
                <w:rFonts w:ascii="Arial" w:hAnsi="Arial" w:cs="Arial"/>
                <w:sz w:val="22"/>
                <w:szCs w:val="22"/>
              </w:rPr>
              <w:t xml:space="preserve">information </w:t>
            </w:r>
            <w:r w:rsidRPr="006C0DBC">
              <w:rPr>
                <w:rFonts w:ascii="Arial" w:hAnsi="Arial" w:cs="Arial"/>
                <w:sz w:val="22"/>
                <w:szCs w:val="22"/>
              </w:rPr>
              <w:lastRenderedPageBreak/>
              <w:t>between the insurer and the covered person, or, if applicable, the covered</w:t>
            </w:r>
          </w:p>
          <w:p w14:paraId="7533924F" w14:textId="7E8633CF" w:rsidR="00256BE9" w:rsidRPr="00973AFD" w:rsidRDefault="00256BE9" w:rsidP="00256BE9">
            <w:pPr>
              <w:rPr>
                <w:rFonts w:ascii="Arial" w:hAnsi="Arial" w:cs="Arial"/>
                <w:sz w:val="22"/>
                <w:szCs w:val="22"/>
              </w:rPr>
            </w:pPr>
            <w:r w:rsidRPr="006C0DBC">
              <w:rPr>
                <w:rFonts w:ascii="Arial" w:hAnsi="Arial" w:cs="Arial"/>
                <w:sz w:val="22"/>
                <w:szCs w:val="22"/>
              </w:rPr>
              <w:t>person's healthcare provider or authorized representative.</w:t>
            </w:r>
          </w:p>
        </w:tc>
        <w:tc>
          <w:tcPr>
            <w:tcW w:w="2610" w:type="dxa"/>
          </w:tcPr>
          <w:p w14:paraId="6A6D66F5" w14:textId="77777777" w:rsidR="00256BE9" w:rsidRPr="006C0DBC" w:rsidRDefault="00256BE9" w:rsidP="00256BE9">
            <w:pPr>
              <w:rPr>
                <w:rFonts w:ascii="Arial" w:hAnsi="Arial" w:cs="Arial"/>
                <w:sz w:val="22"/>
                <w:szCs w:val="22"/>
              </w:rPr>
            </w:pPr>
          </w:p>
        </w:tc>
      </w:tr>
      <w:tr w:rsidR="00256BE9" w:rsidRPr="00973AFD" w14:paraId="7CDE73BE" w14:textId="0213C549" w:rsidTr="00256BE9">
        <w:tc>
          <w:tcPr>
            <w:tcW w:w="1698" w:type="dxa"/>
          </w:tcPr>
          <w:p w14:paraId="69B0794A" w14:textId="77777777" w:rsidR="00256BE9" w:rsidRPr="00973AFD" w:rsidRDefault="00256BE9" w:rsidP="00256BE9">
            <w:pPr>
              <w:rPr>
                <w:rStyle w:val="markedcontent"/>
                <w:rFonts w:ascii="Arial" w:hAnsi="Arial" w:cs="Arial"/>
                <w:sz w:val="22"/>
                <w:szCs w:val="22"/>
              </w:rPr>
            </w:pPr>
          </w:p>
        </w:tc>
        <w:tc>
          <w:tcPr>
            <w:tcW w:w="2506" w:type="dxa"/>
          </w:tcPr>
          <w:p w14:paraId="3229FD40" w14:textId="77777777" w:rsidR="00256BE9" w:rsidRPr="00C45C35" w:rsidRDefault="00256BE9" w:rsidP="00256BE9">
            <w:pPr>
              <w:rPr>
                <w:rFonts w:ascii="Arial" w:hAnsi="Arial" w:cs="Arial"/>
                <w:color w:val="000000"/>
                <w:sz w:val="22"/>
                <w:szCs w:val="22"/>
              </w:rPr>
            </w:pPr>
          </w:p>
        </w:tc>
        <w:tc>
          <w:tcPr>
            <w:tcW w:w="2631" w:type="dxa"/>
          </w:tcPr>
          <w:p w14:paraId="644C94AE" w14:textId="11EC4058" w:rsidR="00256BE9" w:rsidRPr="00973AFD" w:rsidRDefault="00256BE9" w:rsidP="00256BE9">
            <w:pPr>
              <w:rPr>
                <w:rFonts w:ascii="Arial" w:hAnsi="Arial" w:cs="Arial"/>
                <w:sz w:val="22"/>
                <w:szCs w:val="22"/>
              </w:rPr>
            </w:pPr>
            <w:r w:rsidRPr="00973AFD">
              <w:rPr>
                <w:rStyle w:val="markedcontent"/>
                <w:rFonts w:ascii="Arial" w:hAnsi="Arial" w:cs="Arial"/>
                <w:sz w:val="22"/>
                <w:szCs w:val="22"/>
              </w:rPr>
              <w:t>Principle #16: Should a provider determine the need for an expedited appeal, a decision on such an appeal should be communicated by the utilization review entity to the provider and patient within 24 hours. Providers and patients should be notified of decisions on all other appeals within 10 calendar days. All appeal decisions should be made by a provider who (a) is of the same specialty, and subspecialty, whenever possible, as the prescribing/ordering provider and (b) was not involved in the initial adverse determination.</w:t>
            </w:r>
          </w:p>
          <w:p w14:paraId="0FE55346" w14:textId="77777777" w:rsidR="00256BE9" w:rsidRPr="00973AFD" w:rsidRDefault="00256BE9" w:rsidP="00256BE9">
            <w:pPr>
              <w:rPr>
                <w:rStyle w:val="markedcontent"/>
                <w:rFonts w:ascii="Arial" w:hAnsi="Arial" w:cs="Arial"/>
                <w:sz w:val="22"/>
                <w:szCs w:val="22"/>
              </w:rPr>
            </w:pPr>
          </w:p>
        </w:tc>
        <w:tc>
          <w:tcPr>
            <w:tcW w:w="2430" w:type="dxa"/>
          </w:tcPr>
          <w:p w14:paraId="1335478A" w14:textId="77777777" w:rsidR="00256BE9" w:rsidRPr="00973AFD" w:rsidRDefault="00256BE9" w:rsidP="00256BE9">
            <w:pPr>
              <w:rPr>
                <w:rFonts w:ascii="Arial" w:hAnsi="Arial" w:cs="Arial"/>
                <w:sz w:val="22"/>
                <w:szCs w:val="22"/>
              </w:rPr>
            </w:pPr>
          </w:p>
        </w:tc>
        <w:tc>
          <w:tcPr>
            <w:tcW w:w="2430" w:type="dxa"/>
          </w:tcPr>
          <w:p w14:paraId="40DFC386" w14:textId="7D99E00D" w:rsidR="00256BE9" w:rsidRPr="00973AFD" w:rsidRDefault="00256BE9" w:rsidP="00256BE9">
            <w:pPr>
              <w:rPr>
                <w:rFonts w:ascii="Arial" w:hAnsi="Arial" w:cs="Arial"/>
                <w:sz w:val="22"/>
                <w:szCs w:val="22"/>
              </w:rPr>
            </w:pPr>
          </w:p>
        </w:tc>
        <w:tc>
          <w:tcPr>
            <w:tcW w:w="2610" w:type="dxa"/>
          </w:tcPr>
          <w:p w14:paraId="27E21F72" w14:textId="77777777" w:rsidR="00256BE9" w:rsidRPr="00973AFD" w:rsidRDefault="00256BE9" w:rsidP="00256BE9">
            <w:pPr>
              <w:rPr>
                <w:rFonts w:ascii="Arial" w:hAnsi="Arial" w:cs="Arial"/>
                <w:sz w:val="22"/>
                <w:szCs w:val="22"/>
              </w:rPr>
            </w:pPr>
          </w:p>
        </w:tc>
        <w:tc>
          <w:tcPr>
            <w:tcW w:w="2610" w:type="dxa"/>
          </w:tcPr>
          <w:p w14:paraId="4B8433CC" w14:textId="77777777" w:rsidR="00256BE9" w:rsidRPr="00973AFD" w:rsidRDefault="00256BE9" w:rsidP="00256BE9">
            <w:pPr>
              <w:rPr>
                <w:rFonts w:ascii="Arial" w:hAnsi="Arial" w:cs="Arial"/>
                <w:sz w:val="22"/>
                <w:szCs w:val="22"/>
              </w:rPr>
            </w:pPr>
          </w:p>
        </w:tc>
      </w:tr>
      <w:tr w:rsidR="00256BE9" w:rsidRPr="00973AFD" w14:paraId="4A125E19" w14:textId="29C3EE62" w:rsidTr="00256BE9">
        <w:tc>
          <w:tcPr>
            <w:tcW w:w="1698" w:type="dxa"/>
          </w:tcPr>
          <w:p w14:paraId="13E17A1C" w14:textId="77777777" w:rsidR="00256BE9" w:rsidRPr="00973AFD" w:rsidRDefault="00256BE9" w:rsidP="00256BE9">
            <w:pPr>
              <w:rPr>
                <w:rStyle w:val="markedcontent"/>
                <w:rFonts w:ascii="Arial" w:hAnsi="Arial" w:cs="Arial"/>
                <w:sz w:val="22"/>
                <w:szCs w:val="22"/>
              </w:rPr>
            </w:pPr>
          </w:p>
        </w:tc>
        <w:tc>
          <w:tcPr>
            <w:tcW w:w="2506" w:type="dxa"/>
          </w:tcPr>
          <w:p w14:paraId="39103A28" w14:textId="77777777" w:rsidR="00256BE9" w:rsidRPr="00C45C35" w:rsidRDefault="00256BE9" w:rsidP="00256BE9">
            <w:pPr>
              <w:rPr>
                <w:rFonts w:ascii="Arial" w:hAnsi="Arial" w:cs="Arial"/>
                <w:sz w:val="22"/>
                <w:szCs w:val="22"/>
              </w:rPr>
            </w:pPr>
            <w:r w:rsidRPr="00C45C35">
              <w:rPr>
                <w:rFonts w:ascii="Arial" w:hAnsi="Arial" w:cs="Arial"/>
                <w:color w:val="000000"/>
                <w:sz w:val="22"/>
                <w:szCs w:val="22"/>
              </w:rPr>
              <w:t>PPS4: Prior authorization shall not be permitted for unanticipated emergency healthcare services, urgent healthcare services, or covered healthcare services which are incidental to the primary covered healthcare service (such as surgery,) and determined by the covered person's physician to be medically necessary. (GA)</w:t>
            </w:r>
          </w:p>
          <w:p w14:paraId="4C162E48" w14:textId="77777777" w:rsidR="00256BE9" w:rsidRPr="00C45C35" w:rsidRDefault="00256BE9" w:rsidP="00256BE9">
            <w:pPr>
              <w:rPr>
                <w:rFonts w:ascii="Arial" w:hAnsi="Arial" w:cs="Arial"/>
                <w:sz w:val="22"/>
                <w:szCs w:val="22"/>
              </w:rPr>
            </w:pPr>
          </w:p>
        </w:tc>
        <w:tc>
          <w:tcPr>
            <w:tcW w:w="2631" w:type="dxa"/>
          </w:tcPr>
          <w:p w14:paraId="14519F19" w14:textId="77777777"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#17: Prior authorization should never be required for emergency care. </w:t>
            </w:r>
          </w:p>
          <w:p w14:paraId="09FA5D25" w14:textId="77777777" w:rsidR="00256BE9" w:rsidRPr="00973AFD" w:rsidRDefault="00256BE9" w:rsidP="00256BE9">
            <w:pPr>
              <w:rPr>
                <w:rFonts w:ascii="Arial" w:hAnsi="Arial" w:cs="Arial"/>
                <w:sz w:val="22"/>
                <w:szCs w:val="22"/>
              </w:rPr>
            </w:pPr>
          </w:p>
        </w:tc>
        <w:tc>
          <w:tcPr>
            <w:tcW w:w="2430" w:type="dxa"/>
          </w:tcPr>
          <w:p w14:paraId="4EF2A272" w14:textId="77777777" w:rsidR="00256BE9" w:rsidRPr="00973AFD" w:rsidRDefault="00256BE9" w:rsidP="00256BE9">
            <w:pPr>
              <w:rPr>
                <w:rFonts w:ascii="Arial" w:hAnsi="Arial" w:cs="Arial"/>
                <w:sz w:val="22"/>
                <w:szCs w:val="22"/>
              </w:rPr>
            </w:pPr>
          </w:p>
        </w:tc>
        <w:tc>
          <w:tcPr>
            <w:tcW w:w="2430" w:type="dxa"/>
          </w:tcPr>
          <w:p w14:paraId="77E19EB2" w14:textId="7E063380" w:rsidR="00256BE9" w:rsidRPr="00973AFD" w:rsidRDefault="00256BE9" w:rsidP="00256BE9">
            <w:pPr>
              <w:rPr>
                <w:rFonts w:ascii="Arial" w:hAnsi="Arial" w:cs="Arial"/>
                <w:sz w:val="22"/>
                <w:szCs w:val="22"/>
              </w:rPr>
            </w:pPr>
          </w:p>
        </w:tc>
        <w:tc>
          <w:tcPr>
            <w:tcW w:w="2610" w:type="dxa"/>
          </w:tcPr>
          <w:p w14:paraId="7D7E9AEF" w14:textId="77777777" w:rsidR="00256BE9" w:rsidRDefault="00256BE9" w:rsidP="00256BE9">
            <w:pPr>
              <w:autoSpaceDE w:val="0"/>
              <w:autoSpaceDN w:val="0"/>
              <w:adjustRightInd w:val="0"/>
              <w:rPr>
                <w:rFonts w:ascii="Arial" w:hAnsi="Arial" w:cs="Arial"/>
                <w:sz w:val="22"/>
                <w:szCs w:val="22"/>
              </w:rPr>
            </w:pPr>
            <w:r w:rsidRPr="006C0DBC">
              <w:rPr>
                <w:rFonts w:ascii="Arial" w:hAnsi="Arial" w:cs="Arial"/>
                <w:sz w:val="22"/>
                <w:szCs w:val="22"/>
              </w:rPr>
              <w:t>33-46-24.</w:t>
            </w:r>
            <w:r>
              <w:rPr>
                <w:rFonts w:ascii="Arial" w:hAnsi="Arial" w:cs="Arial"/>
                <w:sz w:val="22"/>
                <w:szCs w:val="22"/>
              </w:rPr>
              <w:t xml:space="preserve"> </w:t>
            </w:r>
            <w:r w:rsidRPr="006C0DBC">
              <w:rPr>
                <w:rFonts w:ascii="Arial" w:hAnsi="Arial" w:cs="Arial"/>
                <w:sz w:val="22"/>
                <w:szCs w:val="22"/>
              </w:rPr>
              <w:t>Prior authorization shall not be required for unanticipated emergency healthcare services, urgent healthcare services, or covered healthcare services which are incidental to the</w:t>
            </w:r>
            <w:r>
              <w:rPr>
                <w:rFonts w:ascii="Arial" w:hAnsi="Arial" w:cs="Arial"/>
                <w:sz w:val="22"/>
                <w:szCs w:val="22"/>
              </w:rPr>
              <w:t xml:space="preserve"> </w:t>
            </w:r>
            <w:r w:rsidRPr="006C0DBC">
              <w:rPr>
                <w:rFonts w:ascii="Arial" w:hAnsi="Arial" w:cs="Arial"/>
                <w:sz w:val="22"/>
                <w:szCs w:val="22"/>
              </w:rPr>
              <w:t>primary covered healthcare service and determined by the covered person's physician or</w:t>
            </w:r>
            <w:r>
              <w:rPr>
                <w:rFonts w:ascii="Arial" w:hAnsi="Arial" w:cs="Arial"/>
                <w:sz w:val="22"/>
                <w:szCs w:val="22"/>
              </w:rPr>
              <w:t xml:space="preserve"> </w:t>
            </w:r>
            <w:r w:rsidRPr="006C0DBC">
              <w:rPr>
                <w:rFonts w:ascii="Arial" w:hAnsi="Arial" w:cs="Arial"/>
                <w:sz w:val="22"/>
                <w:szCs w:val="22"/>
              </w:rPr>
              <w:t>dentist to be medically necessary.</w:t>
            </w:r>
          </w:p>
          <w:p w14:paraId="7D0AC412" w14:textId="77777777" w:rsidR="00256BE9" w:rsidRDefault="00256BE9" w:rsidP="00256BE9">
            <w:pPr>
              <w:autoSpaceDE w:val="0"/>
              <w:autoSpaceDN w:val="0"/>
              <w:adjustRightInd w:val="0"/>
              <w:rPr>
                <w:rFonts w:ascii="Arial" w:hAnsi="Arial" w:cs="Arial"/>
                <w:sz w:val="22"/>
                <w:szCs w:val="22"/>
              </w:rPr>
            </w:pPr>
            <w:r w:rsidRPr="006C0DBC">
              <w:rPr>
                <w:rFonts w:ascii="Arial" w:hAnsi="Arial" w:cs="Arial"/>
                <w:sz w:val="22"/>
                <w:szCs w:val="22"/>
              </w:rPr>
              <w:t>33-46-25.</w:t>
            </w:r>
            <w:r>
              <w:rPr>
                <w:rFonts w:ascii="Arial" w:hAnsi="Arial" w:cs="Arial"/>
                <w:sz w:val="22"/>
                <w:szCs w:val="22"/>
              </w:rPr>
              <w:t xml:space="preserve"> </w:t>
            </w:r>
            <w:r w:rsidRPr="006C0DBC">
              <w:rPr>
                <w:rFonts w:ascii="Arial" w:hAnsi="Arial" w:cs="Arial"/>
                <w:sz w:val="22"/>
                <w:szCs w:val="22"/>
              </w:rPr>
              <w:t>An insurer cannot require prior authorization for emergency prehospital ambulance</w:t>
            </w:r>
            <w:r>
              <w:rPr>
                <w:rFonts w:ascii="Arial" w:hAnsi="Arial" w:cs="Arial"/>
                <w:sz w:val="22"/>
                <w:szCs w:val="22"/>
              </w:rPr>
              <w:t xml:space="preserve"> </w:t>
            </w:r>
            <w:r w:rsidRPr="006C0DBC">
              <w:rPr>
                <w:rFonts w:ascii="Arial" w:hAnsi="Arial" w:cs="Arial"/>
                <w:sz w:val="22"/>
                <w:szCs w:val="22"/>
              </w:rPr>
              <w:t>transportation or for the provision of emergency healthcare services.</w:t>
            </w:r>
          </w:p>
          <w:p w14:paraId="2110F37B"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33-46-4. (9) 'Emergency healthcare services' means healthcare services rendered after the recent onset of a medical or traumatic condition, sickness, or injury exhibiting acute symptoms of sufficient severity, including, but </w:t>
            </w:r>
            <w:r w:rsidRPr="00436C82">
              <w:rPr>
                <w:rFonts w:ascii="Arial" w:hAnsi="Arial" w:cs="Arial"/>
                <w:sz w:val="22"/>
                <w:szCs w:val="22"/>
              </w:rPr>
              <w:lastRenderedPageBreak/>
              <w:t>not limited to, severe pain, that would lead a prudent layperson possessing an average knowledge of medicine and health to believe that his or her condition, sickness, or injury is of such a nature that failure to obtain immediate medical care could result in:</w:t>
            </w:r>
          </w:p>
          <w:p w14:paraId="225982C9"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(A) Placing the patient's health in serious jeopardy;</w:t>
            </w:r>
          </w:p>
          <w:p w14:paraId="5EFB2F56"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(B) Serious impairment to bodily functions; or</w:t>
            </w:r>
          </w:p>
          <w:p w14:paraId="6553D9AC" w14:textId="77777777" w:rsidR="00256BE9" w:rsidRPr="00436C82" w:rsidRDefault="00256BE9" w:rsidP="00256BE9">
            <w:pPr>
              <w:rPr>
                <w:rFonts w:ascii="Arial" w:hAnsi="Arial" w:cs="Arial"/>
                <w:sz w:val="22"/>
                <w:szCs w:val="22"/>
              </w:rPr>
            </w:pPr>
            <w:r w:rsidRPr="00436C82">
              <w:rPr>
                <w:rFonts w:ascii="Arial" w:hAnsi="Arial" w:cs="Arial"/>
                <w:sz w:val="22"/>
                <w:szCs w:val="22"/>
              </w:rPr>
              <w:t xml:space="preserve"> (C) Serious dysfunction of any bodily organ or part.</w:t>
            </w:r>
          </w:p>
          <w:p w14:paraId="5CD276BF" w14:textId="77777777" w:rsidR="00256BE9" w:rsidRPr="00436C82" w:rsidRDefault="00256BE9" w:rsidP="00256BE9">
            <w:pPr>
              <w:rPr>
                <w:rFonts w:ascii="Arial" w:hAnsi="Arial" w:cs="Arial"/>
                <w:color w:val="000000"/>
                <w:sz w:val="22"/>
                <w:szCs w:val="22"/>
              </w:rPr>
            </w:pPr>
          </w:p>
          <w:p w14:paraId="44B34944" w14:textId="77777777" w:rsidR="00256BE9" w:rsidRPr="00973AFD" w:rsidRDefault="00256BE9" w:rsidP="00256BE9">
            <w:pPr>
              <w:rPr>
                <w:rFonts w:ascii="Arial" w:hAnsi="Arial" w:cs="Arial"/>
                <w:sz w:val="22"/>
                <w:szCs w:val="22"/>
              </w:rPr>
            </w:pPr>
          </w:p>
        </w:tc>
        <w:tc>
          <w:tcPr>
            <w:tcW w:w="2610" w:type="dxa"/>
          </w:tcPr>
          <w:p w14:paraId="5C9CE4D7" w14:textId="77777777" w:rsidR="00256BE9" w:rsidRPr="006C0DBC" w:rsidRDefault="00256BE9" w:rsidP="00256BE9">
            <w:pPr>
              <w:autoSpaceDE w:val="0"/>
              <w:autoSpaceDN w:val="0"/>
              <w:adjustRightInd w:val="0"/>
              <w:rPr>
                <w:rFonts w:ascii="Arial" w:hAnsi="Arial" w:cs="Arial"/>
                <w:sz w:val="22"/>
                <w:szCs w:val="22"/>
              </w:rPr>
            </w:pPr>
          </w:p>
        </w:tc>
      </w:tr>
      <w:tr w:rsidR="00256BE9" w:rsidRPr="00973AFD" w14:paraId="1641F394" w14:textId="0A03F1A3" w:rsidTr="00256BE9">
        <w:tc>
          <w:tcPr>
            <w:tcW w:w="1698" w:type="dxa"/>
          </w:tcPr>
          <w:p w14:paraId="067ED05A" w14:textId="77777777" w:rsidR="00256BE9" w:rsidRPr="00973AFD" w:rsidRDefault="00256BE9" w:rsidP="00256BE9">
            <w:pPr>
              <w:rPr>
                <w:rStyle w:val="markedcontent"/>
                <w:rFonts w:ascii="Arial" w:hAnsi="Arial" w:cs="Arial"/>
                <w:sz w:val="22"/>
                <w:szCs w:val="22"/>
              </w:rPr>
            </w:pPr>
          </w:p>
        </w:tc>
        <w:tc>
          <w:tcPr>
            <w:tcW w:w="2506" w:type="dxa"/>
          </w:tcPr>
          <w:p w14:paraId="4A0BCEC8" w14:textId="77777777" w:rsidR="00256BE9" w:rsidRPr="00C45C35" w:rsidRDefault="00256BE9" w:rsidP="00256BE9">
            <w:pPr>
              <w:rPr>
                <w:rFonts w:ascii="Arial" w:hAnsi="Arial" w:cs="Arial"/>
                <w:color w:val="000000"/>
                <w:sz w:val="22"/>
                <w:szCs w:val="22"/>
              </w:rPr>
            </w:pPr>
          </w:p>
        </w:tc>
        <w:tc>
          <w:tcPr>
            <w:tcW w:w="2631" w:type="dxa"/>
          </w:tcPr>
          <w:p w14:paraId="4208B070" w14:textId="77777777" w:rsidR="00256BE9" w:rsidRPr="00973AFD" w:rsidRDefault="00256BE9" w:rsidP="00256BE9">
            <w:pPr>
              <w:rPr>
                <w:rStyle w:val="markedcontent"/>
                <w:rFonts w:ascii="Arial" w:hAnsi="Arial" w:cs="Arial"/>
                <w:sz w:val="22"/>
                <w:szCs w:val="22"/>
              </w:rPr>
            </w:pPr>
          </w:p>
        </w:tc>
        <w:tc>
          <w:tcPr>
            <w:tcW w:w="2430" w:type="dxa"/>
          </w:tcPr>
          <w:p w14:paraId="632C8D0B" w14:textId="77777777" w:rsidR="00256BE9" w:rsidRPr="00973AFD" w:rsidRDefault="00256BE9" w:rsidP="00256BE9">
            <w:pPr>
              <w:rPr>
                <w:rFonts w:ascii="Arial" w:hAnsi="Arial" w:cs="Arial"/>
                <w:sz w:val="22"/>
                <w:szCs w:val="22"/>
              </w:rPr>
            </w:pPr>
          </w:p>
        </w:tc>
        <w:tc>
          <w:tcPr>
            <w:tcW w:w="2430" w:type="dxa"/>
          </w:tcPr>
          <w:p w14:paraId="6C52C9C7" w14:textId="4D4ECD73" w:rsidR="00256BE9" w:rsidRPr="00973AFD" w:rsidRDefault="00256BE9" w:rsidP="00256BE9">
            <w:pPr>
              <w:rPr>
                <w:rFonts w:ascii="Arial" w:hAnsi="Arial" w:cs="Arial"/>
                <w:sz w:val="22"/>
                <w:szCs w:val="22"/>
              </w:rPr>
            </w:pPr>
          </w:p>
        </w:tc>
        <w:tc>
          <w:tcPr>
            <w:tcW w:w="2610" w:type="dxa"/>
          </w:tcPr>
          <w:p w14:paraId="21BCC3A5" w14:textId="1122605F" w:rsidR="00256BE9" w:rsidRPr="00973AFD" w:rsidRDefault="00256BE9" w:rsidP="00256BE9">
            <w:pPr>
              <w:rPr>
                <w:rFonts w:ascii="Arial" w:hAnsi="Arial" w:cs="Arial"/>
                <w:sz w:val="22"/>
                <w:szCs w:val="22"/>
              </w:rPr>
            </w:pPr>
            <w:r w:rsidRPr="00436C82">
              <w:rPr>
                <w:rFonts w:ascii="Arial" w:hAnsi="Arial" w:cs="Arial"/>
                <w:sz w:val="22"/>
                <w:szCs w:val="22"/>
              </w:rPr>
              <w:t xml:space="preserve">33-46-4. (a)(2) All preadmission review programs shall provide for immediate hospitalization of any patient for whom the treating health care healthcare provider determines the admission to be of an emergency nature, so </w:t>
            </w:r>
            <w:r w:rsidRPr="00436C82">
              <w:rPr>
                <w:rFonts w:ascii="Arial" w:hAnsi="Arial" w:cs="Arial"/>
                <w:sz w:val="22"/>
                <w:szCs w:val="22"/>
              </w:rPr>
              <w:lastRenderedPageBreak/>
              <w:t>long as medical necessity is subsequently documented;</w:t>
            </w:r>
          </w:p>
        </w:tc>
        <w:tc>
          <w:tcPr>
            <w:tcW w:w="2610" w:type="dxa"/>
          </w:tcPr>
          <w:p w14:paraId="5459B269" w14:textId="77777777" w:rsidR="00256BE9" w:rsidRPr="00436C82" w:rsidRDefault="00256BE9" w:rsidP="00256BE9">
            <w:pPr>
              <w:rPr>
                <w:rFonts w:ascii="Arial" w:hAnsi="Arial" w:cs="Arial"/>
                <w:sz w:val="22"/>
                <w:szCs w:val="22"/>
              </w:rPr>
            </w:pPr>
          </w:p>
        </w:tc>
      </w:tr>
      <w:tr w:rsidR="00256BE9" w:rsidRPr="00973AFD" w14:paraId="55E84C61" w14:textId="101E48D4" w:rsidTr="00256BE9">
        <w:tc>
          <w:tcPr>
            <w:tcW w:w="1698" w:type="dxa"/>
          </w:tcPr>
          <w:p w14:paraId="6DE1AAAF" w14:textId="77777777" w:rsidR="00256BE9" w:rsidRPr="00973AFD" w:rsidRDefault="00256BE9" w:rsidP="00256BE9">
            <w:pPr>
              <w:rPr>
                <w:rStyle w:val="markedcontent"/>
                <w:rFonts w:ascii="Arial" w:hAnsi="Arial" w:cs="Arial"/>
                <w:sz w:val="22"/>
                <w:szCs w:val="22"/>
              </w:rPr>
            </w:pPr>
          </w:p>
        </w:tc>
        <w:tc>
          <w:tcPr>
            <w:tcW w:w="2506" w:type="dxa"/>
          </w:tcPr>
          <w:p w14:paraId="055DFEA1" w14:textId="77777777" w:rsidR="00256BE9" w:rsidRPr="00C45C35" w:rsidRDefault="00256BE9" w:rsidP="00256BE9">
            <w:pPr>
              <w:rPr>
                <w:rFonts w:ascii="Arial" w:hAnsi="Arial" w:cs="Arial"/>
                <w:color w:val="000000"/>
                <w:sz w:val="22"/>
                <w:szCs w:val="22"/>
              </w:rPr>
            </w:pPr>
          </w:p>
        </w:tc>
        <w:tc>
          <w:tcPr>
            <w:tcW w:w="2631" w:type="dxa"/>
          </w:tcPr>
          <w:p w14:paraId="01FE0E21" w14:textId="77777777" w:rsidR="00256BE9" w:rsidRPr="00973AFD" w:rsidRDefault="00256BE9" w:rsidP="00256BE9">
            <w:pPr>
              <w:rPr>
                <w:rStyle w:val="markedcontent"/>
                <w:rFonts w:ascii="Arial" w:hAnsi="Arial" w:cs="Arial"/>
                <w:sz w:val="22"/>
                <w:szCs w:val="22"/>
              </w:rPr>
            </w:pPr>
          </w:p>
        </w:tc>
        <w:tc>
          <w:tcPr>
            <w:tcW w:w="2430" w:type="dxa"/>
          </w:tcPr>
          <w:p w14:paraId="0B367D3A" w14:textId="77777777" w:rsidR="00256BE9" w:rsidRPr="00973AFD" w:rsidRDefault="00256BE9" w:rsidP="00256BE9">
            <w:pPr>
              <w:rPr>
                <w:rFonts w:ascii="Arial" w:hAnsi="Arial" w:cs="Arial"/>
                <w:sz w:val="22"/>
                <w:szCs w:val="22"/>
              </w:rPr>
            </w:pPr>
          </w:p>
        </w:tc>
        <w:tc>
          <w:tcPr>
            <w:tcW w:w="2430" w:type="dxa"/>
          </w:tcPr>
          <w:p w14:paraId="74A13317" w14:textId="3F2BB7C9" w:rsidR="00256BE9" w:rsidRPr="00973AFD" w:rsidRDefault="00256BE9" w:rsidP="00256BE9">
            <w:pPr>
              <w:rPr>
                <w:rFonts w:ascii="Arial" w:hAnsi="Arial" w:cs="Arial"/>
                <w:sz w:val="22"/>
                <w:szCs w:val="22"/>
              </w:rPr>
            </w:pPr>
          </w:p>
        </w:tc>
        <w:tc>
          <w:tcPr>
            <w:tcW w:w="2610" w:type="dxa"/>
          </w:tcPr>
          <w:p w14:paraId="6ED7CDF6"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33-46-4 (21) 'Urgent healthcare service' means a healthcare service with respect to which the application of the time periods for making a </w:t>
            </w:r>
            <w:proofErr w:type="spellStart"/>
            <w:r w:rsidRPr="00436C82">
              <w:rPr>
                <w:rFonts w:ascii="Arial" w:hAnsi="Arial" w:cs="Arial"/>
                <w:sz w:val="22"/>
                <w:szCs w:val="22"/>
              </w:rPr>
              <w:t>nonexpedited</w:t>
            </w:r>
            <w:proofErr w:type="spellEnd"/>
            <w:r w:rsidRPr="00436C82">
              <w:rPr>
                <w:rFonts w:ascii="Arial" w:hAnsi="Arial" w:cs="Arial"/>
                <w:sz w:val="22"/>
                <w:szCs w:val="22"/>
              </w:rPr>
              <w:t xml:space="preserve"> prior authorization, which, in the opinion of a physician or other healthcare provider with knowledge of the covered person's medical condition:</w:t>
            </w:r>
          </w:p>
          <w:p w14:paraId="68055212"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 xml:space="preserve"> (A) Could seriously jeopardize the life or health of the covered person or the ability of such person to regain maximum function; or</w:t>
            </w:r>
          </w:p>
          <w:p w14:paraId="600640E4" w14:textId="2F2A788C" w:rsidR="00256BE9" w:rsidRPr="00973AFD" w:rsidRDefault="00256BE9" w:rsidP="00256BE9">
            <w:pPr>
              <w:rPr>
                <w:rFonts w:ascii="Arial" w:hAnsi="Arial" w:cs="Arial"/>
                <w:sz w:val="22"/>
                <w:szCs w:val="22"/>
              </w:rPr>
            </w:pPr>
            <w:r w:rsidRPr="00436C82">
              <w:rPr>
                <w:rFonts w:ascii="Arial" w:hAnsi="Arial" w:cs="Arial"/>
                <w:sz w:val="22"/>
                <w:szCs w:val="22"/>
              </w:rPr>
              <w:t xml:space="preserve"> (B) Could subject the covered person to severe pain that cannot be adequately managed without the care or treatment that is the subject of the utilization review. Such term shall include services </w:t>
            </w:r>
            <w:r w:rsidRPr="00436C82">
              <w:rPr>
                <w:rFonts w:ascii="Arial" w:hAnsi="Arial" w:cs="Arial"/>
                <w:sz w:val="22"/>
                <w:szCs w:val="22"/>
              </w:rPr>
              <w:lastRenderedPageBreak/>
              <w:t>provided for the treatment of substance use disorders which otherwise qualify as an urgent healthcare service.</w:t>
            </w:r>
          </w:p>
        </w:tc>
        <w:tc>
          <w:tcPr>
            <w:tcW w:w="2610" w:type="dxa"/>
          </w:tcPr>
          <w:p w14:paraId="74DCA8F5" w14:textId="77777777" w:rsidR="00256BE9" w:rsidRPr="00436C82" w:rsidRDefault="00256BE9" w:rsidP="00256BE9">
            <w:pPr>
              <w:autoSpaceDE w:val="0"/>
              <w:autoSpaceDN w:val="0"/>
              <w:adjustRightInd w:val="0"/>
              <w:rPr>
                <w:rFonts w:ascii="Arial" w:hAnsi="Arial" w:cs="Arial"/>
                <w:sz w:val="22"/>
                <w:szCs w:val="22"/>
              </w:rPr>
            </w:pPr>
          </w:p>
        </w:tc>
      </w:tr>
      <w:tr w:rsidR="00256BE9" w:rsidRPr="00973AFD" w14:paraId="0F4A8F53" w14:textId="504AA4D5" w:rsidTr="00256BE9">
        <w:tc>
          <w:tcPr>
            <w:tcW w:w="1698" w:type="dxa"/>
          </w:tcPr>
          <w:p w14:paraId="78FB6565" w14:textId="77777777" w:rsidR="00256BE9" w:rsidRPr="00973AFD" w:rsidRDefault="00256BE9" w:rsidP="00256BE9">
            <w:pPr>
              <w:rPr>
                <w:rStyle w:val="markedcontent"/>
                <w:rFonts w:ascii="Arial" w:hAnsi="Arial" w:cs="Arial"/>
                <w:sz w:val="22"/>
                <w:szCs w:val="22"/>
              </w:rPr>
            </w:pPr>
          </w:p>
        </w:tc>
        <w:tc>
          <w:tcPr>
            <w:tcW w:w="2506" w:type="dxa"/>
          </w:tcPr>
          <w:p w14:paraId="5F6DC3C8" w14:textId="77777777" w:rsidR="00256BE9" w:rsidRPr="00C45C35" w:rsidRDefault="00256BE9" w:rsidP="00256BE9">
            <w:pPr>
              <w:rPr>
                <w:rFonts w:ascii="Arial" w:hAnsi="Arial" w:cs="Arial"/>
                <w:color w:val="000000"/>
                <w:sz w:val="22"/>
                <w:szCs w:val="22"/>
              </w:rPr>
            </w:pPr>
          </w:p>
        </w:tc>
        <w:tc>
          <w:tcPr>
            <w:tcW w:w="2631" w:type="dxa"/>
          </w:tcPr>
          <w:p w14:paraId="10FCC5AC" w14:textId="77777777" w:rsidR="00256BE9" w:rsidRPr="00973AFD" w:rsidRDefault="00256BE9" w:rsidP="00256BE9">
            <w:pPr>
              <w:rPr>
                <w:rStyle w:val="markedcontent"/>
                <w:rFonts w:ascii="Arial" w:hAnsi="Arial" w:cs="Arial"/>
                <w:sz w:val="22"/>
                <w:szCs w:val="22"/>
              </w:rPr>
            </w:pPr>
          </w:p>
        </w:tc>
        <w:tc>
          <w:tcPr>
            <w:tcW w:w="2430" w:type="dxa"/>
          </w:tcPr>
          <w:p w14:paraId="6CA4A4F0" w14:textId="77777777" w:rsidR="00256BE9" w:rsidRPr="00973AFD" w:rsidRDefault="00256BE9" w:rsidP="00256BE9">
            <w:pPr>
              <w:rPr>
                <w:rFonts w:ascii="Arial" w:hAnsi="Arial" w:cs="Arial"/>
                <w:sz w:val="22"/>
                <w:szCs w:val="22"/>
              </w:rPr>
            </w:pPr>
          </w:p>
        </w:tc>
        <w:tc>
          <w:tcPr>
            <w:tcW w:w="2430" w:type="dxa"/>
          </w:tcPr>
          <w:p w14:paraId="7FB07DC3" w14:textId="446EE06E" w:rsidR="00256BE9" w:rsidRPr="00973AFD" w:rsidRDefault="00256BE9" w:rsidP="00256BE9">
            <w:pPr>
              <w:rPr>
                <w:rFonts w:ascii="Arial" w:hAnsi="Arial" w:cs="Arial"/>
                <w:sz w:val="22"/>
                <w:szCs w:val="22"/>
              </w:rPr>
            </w:pPr>
          </w:p>
        </w:tc>
        <w:tc>
          <w:tcPr>
            <w:tcW w:w="2610" w:type="dxa"/>
          </w:tcPr>
          <w:p w14:paraId="0B5F5DF1" w14:textId="77777777" w:rsidR="00256BE9" w:rsidRPr="00436C82"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33-46-4 (a)(4) In cases where a private review agent or utilization review entity is responsible for utilization review for a payor an insurer or claim administrator, the utilization review such agent or entity should respond promptly and efficiently in accordance with this chapter to all requests including concurrent review in a timely method, and a method for an expedited authorization process shall be available in the interest of efficient patient care;</w:t>
            </w:r>
          </w:p>
          <w:p w14:paraId="385FC144" w14:textId="64A39A2D" w:rsidR="00256BE9" w:rsidRPr="00973AFD" w:rsidRDefault="00256BE9" w:rsidP="00256BE9">
            <w:pPr>
              <w:rPr>
                <w:rFonts w:ascii="Arial" w:hAnsi="Arial" w:cs="Arial"/>
                <w:sz w:val="22"/>
                <w:szCs w:val="22"/>
              </w:rPr>
            </w:pPr>
            <w:r w:rsidRPr="00436C82">
              <w:rPr>
                <w:rFonts w:ascii="Arial" w:hAnsi="Arial" w:cs="Arial"/>
                <w:sz w:val="22"/>
                <w:szCs w:val="22"/>
              </w:rPr>
              <w:t xml:space="preserve">33-46-4 (a) (5) In any instances where the private review agent or utilization review agent entity is questioning the medical necessity or </w:t>
            </w:r>
            <w:r w:rsidRPr="00436C82">
              <w:rPr>
                <w:rFonts w:ascii="Arial" w:hAnsi="Arial" w:cs="Arial"/>
                <w:sz w:val="22"/>
                <w:szCs w:val="22"/>
              </w:rPr>
              <w:lastRenderedPageBreak/>
              <w:t>appropriateness of care, the attending treating health care provider, or such provider's appropriately qualified designee, shall be able to discuss the plan of treatment with an identified health care provider a clinical peer trained in a related specialty and no adverse determination shall be made by the private review agent or utilization review agent entity until an effort has been made to discuss the patient's care with the patient's attending treating provider, or such provider's appropriately qualified designee who shall be familiar with the patient's case, during normal working hours. In the event of an adverse determination, notice to the provider and patient will specify the reasons for the review determination.</w:t>
            </w:r>
          </w:p>
        </w:tc>
        <w:tc>
          <w:tcPr>
            <w:tcW w:w="2610" w:type="dxa"/>
          </w:tcPr>
          <w:p w14:paraId="5AA25386" w14:textId="77777777" w:rsidR="00256BE9" w:rsidRPr="00436C82" w:rsidRDefault="00256BE9" w:rsidP="00256BE9">
            <w:pPr>
              <w:autoSpaceDE w:val="0"/>
              <w:autoSpaceDN w:val="0"/>
              <w:adjustRightInd w:val="0"/>
              <w:rPr>
                <w:rFonts w:ascii="Arial" w:hAnsi="Arial" w:cs="Arial"/>
                <w:sz w:val="22"/>
                <w:szCs w:val="22"/>
              </w:rPr>
            </w:pPr>
          </w:p>
        </w:tc>
      </w:tr>
      <w:tr w:rsidR="00256BE9" w:rsidRPr="00973AFD" w14:paraId="7428286F" w14:textId="206B14D9" w:rsidTr="00256BE9">
        <w:tc>
          <w:tcPr>
            <w:tcW w:w="1698" w:type="dxa"/>
          </w:tcPr>
          <w:p w14:paraId="3807CD00" w14:textId="77777777" w:rsidR="00256BE9" w:rsidRPr="00973AFD" w:rsidRDefault="00256BE9" w:rsidP="00256BE9">
            <w:pPr>
              <w:rPr>
                <w:rStyle w:val="markedcontent"/>
                <w:rFonts w:ascii="Arial" w:hAnsi="Arial" w:cs="Arial"/>
                <w:sz w:val="22"/>
                <w:szCs w:val="22"/>
              </w:rPr>
            </w:pPr>
          </w:p>
        </w:tc>
        <w:tc>
          <w:tcPr>
            <w:tcW w:w="2506" w:type="dxa"/>
          </w:tcPr>
          <w:p w14:paraId="2262A5A7" w14:textId="77777777" w:rsidR="00256BE9" w:rsidRDefault="00256BE9" w:rsidP="00256BE9">
            <w:pPr>
              <w:rPr>
                <w:rFonts w:ascii="Arial" w:hAnsi="Arial" w:cs="Arial"/>
                <w:color w:val="000000"/>
                <w:sz w:val="22"/>
                <w:szCs w:val="22"/>
              </w:rPr>
            </w:pPr>
            <w:r w:rsidRPr="00C45C35">
              <w:rPr>
                <w:rFonts w:ascii="Arial" w:hAnsi="Arial" w:cs="Arial"/>
                <w:color w:val="000000"/>
                <w:sz w:val="22"/>
                <w:szCs w:val="22"/>
              </w:rPr>
              <w:t>PPS5: Reauthorization decisions are continued care claims which must be approved or denied within 24 hours of the request.   (limited to approval or denial) must be produced by the payer within 48 hours of the reauthorization request. (ACA)</w:t>
            </w:r>
          </w:p>
          <w:p w14:paraId="1E505996" w14:textId="27F5F91D" w:rsidR="00256BE9" w:rsidRPr="00C45C35" w:rsidRDefault="00256BE9" w:rsidP="00256BE9">
            <w:pPr>
              <w:rPr>
                <w:rFonts w:ascii="Arial" w:hAnsi="Arial" w:cs="Arial"/>
                <w:sz w:val="22"/>
                <w:szCs w:val="22"/>
              </w:rPr>
            </w:pPr>
          </w:p>
        </w:tc>
        <w:tc>
          <w:tcPr>
            <w:tcW w:w="2631" w:type="dxa"/>
          </w:tcPr>
          <w:p w14:paraId="4D6AC6F3" w14:textId="77777777"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#18: Utilization review entities are encouraged to standardize criteria across the industry to promote uniformity and reduce administrative burdens. </w:t>
            </w:r>
          </w:p>
          <w:p w14:paraId="0B898824" w14:textId="77777777" w:rsidR="00256BE9" w:rsidRPr="00973AFD" w:rsidRDefault="00256BE9" w:rsidP="00256BE9">
            <w:pPr>
              <w:rPr>
                <w:rStyle w:val="markedcontent"/>
                <w:rFonts w:ascii="Arial" w:hAnsi="Arial" w:cs="Arial"/>
                <w:sz w:val="22"/>
                <w:szCs w:val="22"/>
              </w:rPr>
            </w:pPr>
          </w:p>
        </w:tc>
        <w:tc>
          <w:tcPr>
            <w:tcW w:w="2430" w:type="dxa"/>
          </w:tcPr>
          <w:p w14:paraId="766F9281" w14:textId="77777777" w:rsidR="00256BE9" w:rsidRPr="00973AFD" w:rsidRDefault="00256BE9" w:rsidP="00256BE9">
            <w:pPr>
              <w:rPr>
                <w:rFonts w:ascii="Arial" w:hAnsi="Arial" w:cs="Arial"/>
                <w:sz w:val="22"/>
                <w:szCs w:val="22"/>
              </w:rPr>
            </w:pPr>
          </w:p>
        </w:tc>
        <w:tc>
          <w:tcPr>
            <w:tcW w:w="2430" w:type="dxa"/>
          </w:tcPr>
          <w:p w14:paraId="1109570D" w14:textId="0358883F" w:rsidR="00256BE9" w:rsidRPr="00973AFD" w:rsidRDefault="00256BE9" w:rsidP="00256BE9">
            <w:pPr>
              <w:rPr>
                <w:rFonts w:ascii="Arial" w:hAnsi="Arial" w:cs="Arial"/>
                <w:sz w:val="22"/>
                <w:szCs w:val="22"/>
              </w:rPr>
            </w:pPr>
          </w:p>
        </w:tc>
        <w:tc>
          <w:tcPr>
            <w:tcW w:w="2610" w:type="dxa"/>
          </w:tcPr>
          <w:p w14:paraId="52FB01E8" w14:textId="77777777" w:rsidR="00256BE9" w:rsidRPr="00973AFD" w:rsidRDefault="00256BE9" w:rsidP="00256BE9">
            <w:pPr>
              <w:rPr>
                <w:rFonts w:ascii="Arial" w:hAnsi="Arial" w:cs="Arial"/>
                <w:sz w:val="22"/>
                <w:szCs w:val="22"/>
              </w:rPr>
            </w:pPr>
          </w:p>
        </w:tc>
        <w:tc>
          <w:tcPr>
            <w:tcW w:w="2610" w:type="dxa"/>
          </w:tcPr>
          <w:p w14:paraId="470B8227" w14:textId="77777777" w:rsidR="00256BE9" w:rsidRPr="00973AFD" w:rsidRDefault="00256BE9" w:rsidP="00256BE9">
            <w:pPr>
              <w:rPr>
                <w:rFonts w:ascii="Arial" w:hAnsi="Arial" w:cs="Arial"/>
                <w:sz w:val="22"/>
                <w:szCs w:val="22"/>
              </w:rPr>
            </w:pPr>
          </w:p>
        </w:tc>
      </w:tr>
      <w:tr w:rsidR="00256BE9" w:rsidRPr="00973AFD" w14:paraId="1227E897" w14:textId="1F8CEA49" w:rsidTr="00256BE9">
        <w:tc>
          <w:tcPr>
            <w:tcW w:w="1698" w:type="dxa"/>
          </w:tcPr>
          <w:p w14:paraId="147A94E4" w14:textId="77777777" w:rsidR="00256BE9" w:rsidRPr="00973AFD" w:rsidRDefault="00256BE9" w:rsidP="00256BE9">
            <w:pPr>
              <w:rPr>
                <w:rFonts w:ascii="Arial" w:hAnsi="Arial" w:cs="Arial"/>
                <w:sz w:val="22"/>
                <w:szCs w:val="22"/>
              </w:rPr>
            </w:pPr>
            <w:r w:rsidRPr="00973AFD">
              <w:rPr>
                <w:rStyle w:val="markedcontent"/>
                <w:rFonts w:ascii="Arial" w:hAnsi="Arial" w:cs="Arial"/>
                <w:sz w:val="22"/>
                <w:szCs w:val="22"/>
              </w:rPr>
              <w:t>Alternatives and Exemptions</w:t>
            </w:r>
          </w:p>
          <w:p w14:paraId="0C03F51C" w14:textId="77777777" w:rsidR="00256BE9" w:rsidRPr="00973AFD" w:rsidRDefault="00256BE9" w:rsidP="00256BE9">
            <w:pPr>
              <w:rPr>
                <w:rFonts w:ascii="Arial" w:hAnsi="Arial" w:cs="Arial"/>
                <w:sz w:val="22"/>
                <w:szCs w:val="22"/>
              </w:rPr>
            </w:pPr>
          </w:p>
        </w:tc>
        <w:tc>
          <w:tcPr>
            <w:tcW w:w="2506" w:type="dxa"/>
          </w:tcPr>
          <w:p w14:paraId="0EDEE3CE" w14:textId="77777777" w:rsidR="00256BE9" w:rsidRPr="00C45C35" w:rsidRDefault="00256BE9" w:rsidP="00256BE9">
            <w:pPr>
              <w:rPr>
                <w:rFonts w:ascii="Arial" w:hAnsi="Arial" w:cs="Arial"/>
                <w:sz w:val="22"/>
                <w:szCs w:val="22"/>
              </w:rPr>
            </w:pPr>
          </w:p>
        </w:tc>
        <w:tc>
          <w:tcPr>
            <w:tcW w:w="2631" w:type="dxa"/>
          </w:tcPr>
          <w:p w14:paraId="6898C640" w14:textId="3D79C286" w:rsidR="00256BE9" w:rsidRPr="00973AFD" w:rsidRDefault="00256BE9" w:rsidP="00256BE9">
            <w:pPr>
              <w:rPr>
                <w:rFonts w:ascii="Arial" w:hAnsi="Arial" w:cs="Arial"/>
                <w:sz w:val="22"/>
                <w:szCs w:val="22"/>
              </w:rPr>
            </w:pPr>
            <w:r w:rsidRPr="00973AFD">
              <w:rPr>
                <w:rStyle w:val="markedcontent"/>
                <w:rFonts w:ascii="Arial" w:hAnsi="Arial" w:cs="Arial"/>
                <w:sz w:val="22"/>
                <w:szCs w:val="22"/>
              </w:rPr>
              <w:t>Principle #19: Health plans should restrict utilization management programs to “outlier” providers whose prescribing or ordering patterns differ significantly from their peers after adjusting for patient mix and other relevant factors.</w:t>
            </w:r>
          </w:p>
          <w:p w14:paraId="17D604E5" w14:textId="6D4C5E5C" w:rsidR="00256BE9" w:rsidRPr="00973AFD" w:rsidRDefault="00256BE9" w:rsidP="00256BE9">
            <w:pPr>
              <w:rPr>
                <w:rFonts w:ascii="Arial" w:hAnsi="Arial" w:cs="Arial"/>
                <w:sz w:val="22"/>
                <w:szCs w:val="22"/>
              </w:rPr>
            </w:pPr>
          </w:p>
        </w:tc>
        <w:tc>
          <w:tcPr>
            <w:tcW w:w="2430" w:type="dxa"/>
          </w:tcPr>
          <w:p w14:paraId="0AFB55EE" w14:textId="77777777" w:rsidR="00256BE9" w:rsidRPr="00973AFD" w:rsidRDefault="00256BE9" w:rsidP="00256BE9">
            <w:pPr>
              <w:rPr>
                <w:rFonts w:ascii="Arial" w:hAnsi="Arial" w:cs="Arial"/>
                <w:sz w:val="22"/>
                <w:szCs w:val="22"/>
              </w:rPr>
            </w:pPr>
          </w:p>
        </w:tc>
        <w:tc>
          <w:tcPr>
            <w:tcW w:w="2430" w:type="dxa"/>
          </w:tcPr>
          <w:p w14:paraId="4B44AB92" w14:textId="315452DA" w:rsidR="00256BE9" w:rsidRPr="00973AFD" w:rsidRDefault="00256BE9" w:rsidP="00256BE9">
            <w:pPr>
              <w:rPr>
                <w:rFonts w:ascii="Arial" w:hAnsi="Arial" w:cs="Arial"/>
                <w:sz w:val="22"/>
                <w:szCs w:val="22"/>
              </w:rPr>
            </w:pPr>
          </w:p>
        </w:tc>
        <w:tc>
          <w:tcPr>
            <w:tcW w:w="2610" w:type="dxa"/>
          </w:tcPr>
          <w:p w14:paraId="446E913E" w14:textId="77777777" w:rsidR="00256BE9" w:rsidRPr="00973AFD" w:rsidRDefault="00256BE9" w:rsidP="00256BE9">
            <w:pPr>
              <w:rPr>
                <w:rFonts w:ascii="Arial" w:hAnsi="Arial" w:cs="Arial"/>
                <w:sz w:val="22"/>
                <w:szCs w:val="22"/>
              </w:rPr>
            </w:pPr>
          </w:p>
        </w:tc>
        <w:tc>
          <w:tcPr>
            <w:tcW w:w="2610" w:type="dxa"/>
          </w:tcPr>
          <w:p w14:paraId="7C04BD5F" w14:textId="77777777" w:rsidR="00256BE9" w:rsidRPr="00973AFD" w:rsidRDefault="00256BE9" w:rsidP="00256BE9">
            <w:pPr>
              <w:rPr>
                <w:rFonts w:ascii="Arial" w:hAnsi="Arial" w:cs="Arial"/>
                <w:sz w:val="22"/>
                <w:szCs w:val="22"/>
              </w:rPr>
            </w:pPr>
          </w:p>
        </w:tc>
      </w:tr>
      <w:tr w:rsidR="00256BE9" w:rsidRPr="00973AFD" w14:paraId="2C47F9BC" w14:textId="5CE1D0F5" w:rsidTr="00256BE9">
        <w:tc>
          <w:tcPr>
            <w:tcW w:w="1698" w:type="dxa"/>
          </w:tcPr>
          <w:p w14:paraId="506CE915" w14:textId="77777777" w:rsidR="00256BE9" w:rsidRPr="00973AFD" w:rsidRDefault="00256BE9" w:rsidP="00256BE9">
            <w:pPr>
              <w:rPr>
                <w:rStyle w:val="markedcontent"/>
                <w:rFonts w:ascii="Arial" w:hAnsi="Arial" w:cs="Arial"/>
                <w:sz w:val="22"/>
                <w:szCs w:val="22"/>
              </w:rPr>
            </w:pPr>
          </w:p>
        </w:tc>
        <w:tc>
          <w:tcPr>
            <w:tcW w:w="2506" w:type="dxa"/>
          </w:tcPr>
          <w:p w14:paraId="7D36A729" w14:textId="77777777" w:rsidR="00256BE9" w:rsidRPr="00C45C35" w:rsidRDefault="00256BE9" w:rsidP="00256BE9">
            <w:pPr>
              <w:rPr>
                <w:rFonts w:ascii="Arial" w:hAnsi="Arial" w:cs="Arial"/>
                <w:sz w:val="22"/>
                <w:szCs w:val="22"/>
              </w:rPr>
            </w:pPr>
          </w:p>
        </w:tc>
        <w:tc>
          <w:tcPr>
            <w:tcW w:w="2631" w:type="dxa"/>
          </w:tcPr>
          <w:p w14:paraId="611F44EC" w14:textId="032853C5" w:rsidR="00256BE9" w:rsidRPr="00973AFD" w:rsidRDefault="00256BE9" w:rsidP="00256BE9">
            <w:pPr>
              <w:rPr>
                <w:rFonts w:ascii="Arial" w:hAnsi="Arial" w:cs="Arial"/>
                <w:sz w:val="22"/>
                <w:szCs w:val="22"/>
              </w:rPr>
            </w:pPr>
            <w:r w:rsidRPr="00973AFD">
              <w:rPr>
                <w:rStyle w:val="markedcontent"/>
                <w:rFonts w:ascii="Arial" w:hAnsi="Arial" w:cs="Arial"/>
                <w:sz w:val="22"/>
                <w:szCs w:val="22"/>
              </w:rPr>
              <w:t xml:space="preserve">Principle #20: Health plans should offer providers/practices at least one physician-driven, clinically based alternative to prior authorization, such as </w:t>
            </w:r>
            <w:r w:rsidRPr="00973AFD">
              <w:rPr>
                <w:rStyle w:val="markedcontent"/>
                <w:rFonts w:ascii="Arial" w:hAnsi="Arial" w:cs="Arial"/>
                <w:sz w:val="22"/>
                <w:szCs w:val="22"/>
              </w:rPr>
              <w:lastRenderedPageBreak/>
              <w:t>but not limited to “gold-card” or “preferred provider” programs or attestation of use of appropriate use criteria, clinical decision support systems or clinical pathways.</w:t>
            </w:r>
          </w:p>
          <w:p w14:paraId="34B7DC9C" w14:textId="77777777" w:rsidR="00256BE9" w:rsidRPr="00973AFD" w:rsidRDefault="00256BE9" w:rsidP="00256BE9">
            <w:pPr>
              <w:rPr>
                <w:rStyle w:val="markedcontent"/>
                <w:rFonts w:ascii="Arial" w:hAnsi="Arial" w:cs="Arial"/>
                <w:sz w:val="22"/>
                <w:szCs w:val="22"/>
              </w:rPr>
            </w:pPr>
          </w:p>
        </w:tc>
        <w:tc>
          <w:tcPr>
            <w:tcW w:w="2430" w:type="dxa"/>
          </w:tcPr>
          <w:p w14:paraId="44844DE2" w14:textId="77777777" w:rsidR="00256BE9" w:rsidRPr="00973AFD" w:rsidRDefault="00256BE9" w:rsidP="00256BE9">
            <w:pPr>
              <w:rPr>
                <w:rFonts w:ascii="Arial" w:hAnsi="Arial" w:cs="Arial"/>
                <w:sz w:val="22"/>
                <w:szCs w:val="22"/>
              </w:rPr>
            </w:pPr>
          </w:p>
        </w:tc>
        <w:tc>
          <w:tcPr>
            <w:tcW w:w="2430" w:type="dxa"/>
          </w:tcPr>
          <w:p w14:paraId="7C8ED58E" w14:textId="671C520B" w:rsidR="00256BE9" w:rsidRPr="00973AFD" w:rsidRDefault="00256BE9" w:rsidP="00256BE9">
            <w:pPr>
              <w:rPr>
                <w:rFonts w:ascii="Arial" w:hAnsi="Arial" w:cs="Arial"/>
                <w:sz w:val="22"/>
                <w:szCs w:val="22"/>
              </w:rPr>
            </w:pPr>
          </w:p>
        </w:tc>
        <w:tc>
          <w:tcPr>
            <w:tcW w:w="2610" w:type="dxa"/>
          </w:tcPr>
          <w:p w14:paraId="453592A7" w14:textId="77777777" w:rsidR="00256BE9" w:rsidRPr="00973AFD" w:rsidRDefault="00256BE9" w:rsidP="00256BE9">
            <w:pPr>
              <w:rPr>
                <w:rFonts w:ascii="Arial" w:hAnsi="Arial" w:cs="Arial"/>
                <w:sz w:val="22"/>
                <w:szCs w:val="22"/>
              </w:rPr>
            </w:pPr>
          </w:p>
        </w:tc>
        <w:tc>
          <w:tcPr>
            <w:tcW w:w="2610" w:type="dxa"/>
          </w:tcPr>
          <w:p w14:paraId="5E1A3320" w14:textId="77777777" w:rsidR="00256BE9" w:rsidRPr="00973AFD" w:rsidRDefault="00256BE9" w:rsidP="00256BE9">
            <w:pPr>
              <w:rPr>
                <w:rFonts w:ascii="Arial" w:hAnsi="Arial" w:cs="Arial"/>
                <w:sz w:val="22"/>
                <w:szCs w:val="22"/>
              </w:rPr>
            </w:pPr>
          </w:p>
        </w:tc>
      </w:tr>
      <w:tr w:rsidR="00256BE9" w:rsidRPr="00973AFD" w14:paraId="15159EFB" w14:textId="2E283096" w:rsidTr="00256BE9">
        <w:tc>
          <w:tcPr>
            <w:tcW w:w="1698" w:type="dxa"/>
          </w:tcPr>
          <w:p w14:paraId="54884A07" w14:textId="77777777" w:rsidR="00256BE9" w:rsidRPr="00973AFD" w:rsidRDefault="00256BE9" w:rsidP="00256BE9">
            <w:pPr>
              <w:rPr>
                <w:rStyle w:val="markedcontent"/>
                <w:rFonts w:ascii="Arial" w:hAnsi="Arial" w:cs="Arial"/>
                <w:sz w:val="22"/>
                <w:szCs w:val="22"/>
              </w:rPr>
            </w:pPr>
          </w:p>
        </w:tc>
        <w:tc>
          <w:tcPr>
            <w:tcW w:w="2506" w:type="dxa"/>
          </w:tcPr>
          <w:p w14:paraId="0B8CDDF7" w14:textId="77777777" w:rsidR="00256BE9" w:rsidRPr="00C45C35" w:rsidRDefault="00256BE9" w:rsidP="00256BE9">
            <w:pPr>
              <w:rPr>
                <w:rFonts w:ascii="Arial" w:hAnsi="Arial" w:cs="Arial"/>
                <w:sz w:val="22"/>
                <w:szCs w:val="22"/>
              </w:rPr>
            </w:pPr>
          </w:p>
        </w:tc>
        <w:tc>
          <w:tcPr>
            <w:tcW w:w="2631" w:type="dxa"/>
          </w:tcPr>
          <w:p w14:paraId="4FCEAFF6" w14:textId="3D224BD0" w:rsidR="00256BE9" w:rsidRDefault="00256BE9" w:rsidP="00256BE9">
            <w:pPr>
              <w:rPr>
                <w:rStyle w:val="markedcontent"/>
                <w:rFonts w:ascii="Arial" w:hAnsi="Arial" w:cs="Arial"/>
                <w:sz w:val="22"/>
                <w:szCs w:val="22"/>
              </w:rPr>
            </w:pPr>
            <w:r w:rsidRPr="00973AFD">
              <w:rPr>
                <w:rStyle w:val="markedcontent"/>
                <w:rFonts w:ascii="Arial" w:hAnsi="Arial" w:cs="Arial"/>
                <w:sz w:val="22"/>
                <w:szCs w:val="22"/>
              </w:rPr>
              <w:t xml:space="preserve">Principle #21: A provider that contracts with a health plan to participate in a financial risk-sharing payment plan should be exempt from prior authorization and step-therapy requirements for services covered under the plan’s benefits. </w:t>
            </w:r>
          </w:p>
          <w:p w14:paraId="362C0407" w14:textId="3E9E0911" w:rsidR="00256BE9" w:rsidRPr="00973AFD" w:rsidRDefault="00256BE9" w:rsidP="00256BE9">
            <w:pPr>
              <w:rPr>
                <w:rStyle w:val="markedcontent"/>
                <w:rFonts w:ascii="Arial" w:hAnsi="Arial" w:cs="Arial"/>
                <w:sz w:val="22"/>
                <w:szCs w:val="22"/>
              </w:rPr>
            </w:pPr>
          </w:p>
        </w:tc>
        <w:tc>
          <w:tcPr>
            <w:tcW w:w="2430" w:type="dxa"/>
          </w:tcPr>
          <w:p w14:paraId="53B9D9FE" w14:textId="77777777" w:rsidR="00256BE9" w:rsidRPr="00973AFD" w:rsidRDefault="00256BE9" w:rsidP="00256BE9">
            <w:pPr>
              <w:rPr>
                <w:rFonts w:ascii="Arial" w:hAnsi="Arial" w:cs="Arial"/>
                <w:sz w:val="22"/>
                <w:szCs w:val="22"/>
              </w:rPr>
            </w:pPr>
          </w:p>
        </w:tc>
        <w:tc>
          <w:tcPr>
            <w:tcW w:w="2430" w:type="dxa"/>
          </w:tcPr>
          <w:p w14:paraId="38CE30DA" w14:textId="22ACA16F" w:rsidR="00256BE9" w:rsidRPr="00973AFD" w:rsidRDefault="00256BE9" w:rsidP="00256BE9">
            <w:pPr>
              <w:rPr>
                <w:rFonts w:ascii="Arial" w:hAnsi="Arial" w:cs="Arial"/>
                <w:sz w:val="22"/>
                <w:szCs w:val="22"/>
              </w:rPr>
            </w:pPr>
          </w:p>
        </w:tc>
        <w:tc>
          <w:tcPr>
            <w:tcW w:w="2610" w:type="dxa"/>
          </w:tcPr>
          <w:p w14:paraId="6750022A" w14:textId="77777777" w:rsidR="00256BE9" w:rsidRPr="00973AFD" w:rsidRDefault="00256BE9" w:rsidP="00256BE9">
            <w:pPr>
              <w:rPr>
                <w:rFonts w:ascii="Arial" w:hAnsi="Arial" w:cs="Arial"/>
                <w:sz w:val="22"/>
                <w:szCs w:val="22"/>
              </w:rPr>
            </w:pPr>
          </w:p>
        </w:tc>
        <w:tc>
          <w:tcPr>
            <w:tcW w:w="2610" w:type="dxa"/>
          </w:tcPr>
          <w:p w14:paraId="56DCBBCA" w14:textId="77777777" w:rsidR="00256BE9" w:rsidRPr="00973AFD" w:rsidRDefault="00256BE9" w:rsidP="00256BE9">
            <w:pPr>
              <w:rPr>
                <w:rFonts w:ascii="Arial" w:hAnsi="Arial" w:cs="Arial"/>
                <w:sz w:val="22"/>
                <w:szCs w:val="22"/>
              </w:rPr>
            </w:pPr>
          </w:p>
        </w:tc>
      </w:tr>
      <w:tr w:rsidR="00256BE9" w:rsidRPr="00973AFD" w14:paraId="79AA54C7" w14:textId="6D1D114B" w:rsidTr="00256BE9">
        <w:tc>
          <w:tcPr>
            <w:tcW w:w="1698" w:type="dxa"/>
          </w:tcPr>
          <w:p w14:paraId="297CC9C2" w14:textId="20D84ECD" w:rsidR="00256BE9" w:rsidRPr="00973AFD" w:rsidRDefault="00256BE9" w:rsidP="00256BE9">
            <w:pPr>
              <w:rPr>
                <w:rStyle w:val="markedcontent"/>
                <w:rFonts w:ascii="Arial" w:hAnsi="Arial" w:cs="Arial"/>
                <w:sz w:val="22"/>
                <w:szCs w:val="22"/>
              </w:rPr>
            </w:pPr>
            <w:r>
              <w:rPr>
                <w:rStyle w:val="markedcontent"/>
                <w:rFonts w:ascii="Arial" w:hAnsi="Arial" w:cs="Arial"/>
                <w:sz w:val="22"/>
                <w:szCs w:val="22"/>
              </w:rPr>
              <w:t>Relationship between Payer and Utilization Review Agency</w:t>
            </w:r>
          </w:p>
        </w:tc>
        <w:tc>
          <w:tcPr>
            <w:tcW w:w="2506" w:type="dxa"/>
          </w:tcPr>
          <w:p w14:paraId="3354CF99" w14:textId="77777777" w:rsidR="00256BE9" w:rsidRPr="00C45C35" w:rsidRDefault="00256BE9" w:rsidP="00256BE9">
            <w:pPr>
              <w:rPr>
                <w:rFonts w:ascii="Arial" w:hAnsi="Arial" w:cs="Arial"/>
                <w:sz w:val="22"/>
                <w:szCs w:val="22"/>
              </w:rPr>
            </w:pPr>
          </w:p>
        </w:tc>
        <w:tc>
          <w:tcPr>
            <w:tcW w:w="2631" w:type="dxa"/>
          </w:tcPr>
          <w:p w14:paraId="57ACFC4B" w14:textId="77777777" w:rsidR="00256BE9" w:rsidRPr="00973AFD" w:rsidRDefault="00256BE9" w:rsidP="00256BE9">
            <w:pPr>
              <w:rPr>
                <w:rStyle w:val="markedcontent"/>
                <w:rFonts w:ascii="Arial" w:hAnsi="Arial" w:cs="Arial"/>
                <w:sz w:val="22"/>
                <w:szCs w:val="22"/>
              </w:rPr>
            </w:pPr>
          </w:p>
        </w:tc>
        <w:tc>
          <w:tcPr>
            <w:tcW w:w="2430" w:type="dxa"/>
          </w:tcPr>
          <w:p w14:paraId="65B71E55" w14:textId="77777777" w:rsidR="00256BE9" w:rsidRPr="00973AFD" w:rsidRDefault="00256BE9" w:rsidP="00256BE9">
            <w:pPr>
              <w:rPr>
                <w:rFonts w:ascii="Arial" w:hAnsi="Arial" w:cs="Arial"/>
                <w:sz w:val="22"/>
                <w:szCs w:val="22"/>
              </w:rPr>
            </w:pPr>
          </w:p>
        </w:tc>
        <w:tc>
          <w:tcPr>
            <w:tcW w:w="2430" w:type="dxa"/>
          </w:tcPr>
          <w:p w14:paraId="5C5EF1D5" w14:textId="1BECC7BB" w:rsidR="00256BE9" w:rsidRPr="00973AFD" w:rsidRDefault="00256BE9" w:rsidP="00256BE9">
            <w:pPr>
              <w:rPr>
                <w:rFonts w:ascii="Arial" w:hAnsi="Arial" w:cs="Arial"/>
                <w:sz w:val="22"/>
                <w:szCs w:val="22"/>
              </w:rPr>
            </w:pPr>
          </w:p>
        </w:tc>
        <w:tc>
          <w:tcPr>
            <w:tcW w:w="2610" w:type="dxa"/>
          </w:tcPr>
          <w:p w14:paraId="7B85B1EC" w14:textId="735E8FF4" w:rsidR="00256BE9" w:rsidRPr="00973AFD" w:rsidRDefault="00256BE9" w:rsidP="00256BE9">
            <w:pPr>
              <w:rPr>
                <w:rFonts w:ascii="Arial" w:hAnsi="Arial" w:cs="Arial"/>
                <w:sz w:val="22"/>
                <w:szCs w:val="22"/>
              </w:rPr>
            </w:pPr>
            <w:r w:rsidRPr="00436C82">
              <w:rPr>
                <w:rFonts w:ascii="Arial" w:hAnsi="Arial" w:cs="Arial"/>
                <w:sz w:val="22"/>
                <w:szCs w:val="22"/>
              </w:rPr>
              <w:t>33-46-4 (a)</w:t>
            </w:r>
            <w:r>
              <w:rPr>
                <w:rFonts w:ascii="Arial" w:hAnsi="Arial" w:cs="Arial"/>
                <w:sz w:val="22"/>
                <w:szCs w:val="22"/>
              </w:rPr>
              <w:t>(</w:t>
            </w:r>
            <w:r w:rsidRPr="00436C82">
              <w:rPr>
                <w:rFonts w:ascii="Arial" w:hAnsi="Arial" w:cs="Arial"/>
                <w:sz w:val="22"/>
                <w:szCs w:val="22"/>
              </w:rPr>
              <w:t xml:space="preserve">7) A private review agent or utilization review entity shall not enter into any incentive payment provision contained in a contract or agreement with a payor an insurer which is based on reduction of services or the charges thereof, reduction of length of </w:t>
            </w:r>
            <w:r w:rsidRPr="00436C82">
              <w:rPr>
                <w:rFonts w:ascii="Arial" w:hAnsi="Arial" w:cs="Arial"/>
                <w:sz w:val="22"/>
                <w:szCs w:val="22"/>
              </w:rPr>
              <w:lastRenderedPageBreak/>
              <w:t>stay, or utilization of alternative treatment settings…</w:t>
            </w:r>
          </w:p>
        </w:tc>
        <w:tc>
          <w:tcPr>
            <w:tcW w:w="2610" w:type="dxa"/>
          </w:tcPr>
          <w:p w14:paraId="0F2D4D14" w14:textId="77777777" w:rsidR="00256BE9" w:rsidRPr="00436C82" w:rsidRDefault="00256BE9" w:rsidP="00256BE9">
            <w:pPr>
              <w:rPr>
                <w:rFonts w:ascii="Arial" w:hAnsi="Arial" w:cs="Arial"/>
                <w:sz w:val="22"/>
                <w:szCs w:val="22"/>
              </w:rPr>
            </w:pPr>
          </w:p>
        </w:tc>
      </w:tr>
      <w:tr w:rsidR="00256BE9" w:rsidRPr="00973AFD" w14:paraId="06FC3024" w14:textId="57F2C238" w:rsidTr="00256BE9">
        <w:tc>
          <w:tcPr>
            <w:tcW w:w="1698" w:type="dxa"/>
          </w:tcPr>
          <w:p w14:paraId="0293D587" w14:textId="6BD7E11D" w:rsidR="00256BE9" w:rsidRDefault="00256BE9" w:rsidP="00256BE9">
            <w:pPr>
              <w:rPr>
                <w:rStyle w:val="markedcontent"/>
                <w:rFonts w:ascii="Arial" w:hAnsi="Arial" w:cs="Arial"/>
                <w:sz w:val="22"/>
                <w:szCs w:val="22"/>
              </w:rPr>
            </w:pPr>
            <w:r>
              <w:rPr>
                <w:rStyle w:val="markedcontent"/>
                <w:rFonts w:ascii="Arial" w:hAnsi="Arial" w:cs="Arial"/>
                <w:sz w:val="22"/>
                <w:szCs w:val="22"/>
              </w:rPr>
              <w:t>C</w:t>
            </w:r>
            <w:r>
              <w:rPr>
                <w:rStyle w:val="markedcontent"/>
              </w:rPr>
              <w:t>ertification of UR entity</w:t>
            </w:r>
          </w:p>
        </w:tc>
        <w:tc>
          <w:tcPr>
            <w:tcW w:w="2506" w:type="dxa"/>
          </w:tcPr>
          <w:p w14:paraId="7C7342ED" w14:textId="77777777" w:rsidR="00256BE9" w:rsidRPr="00C45C35" w:rsidRDefault="00256BE9" w:rsidP="00256BE9">
            <w:pPr>
              <w:rPr>
                <w:rFonts w:ascii="Arial" w:hAnsi="Arial" w:cs="Arial"/>
                <w:sz w:val="22"/>
                <w:szCs w:val="22"/>
              </w:rPr>
            </w:pPr>
          </w:p>
        </w:tc>
        <w:tc>
          <w:tcPr>
            <w:tcW w:w="2631" w:type="dxa"/>
          </w:tcPr>
          <w:p w14:paraId="6CDB88B7" w14:textId="77777777" w:rsidR="00256BE9" w:rsidRPr="00973AFD" w:rsidRDefault="00256BE9" w:rsidP="00256BE9">
            <w:pPr>
              <w:rPr>
                <w:rStyle w:val="markedcontent"/>
                <w:rFonts w:ascii="Arial" w:hAnsi="Arial" w:cs="Arial"/>
                <w:sz w:val="22"/>
                <w:szCs w:val="22"/>
              </w:rPr>
            </w:pPr>
          </w:p>
        </w:tc>
        <w:tc>
          <w:tcPr>
            <w:tcW w:w="2430" w:type="dxa"/>
          </w:tcPr>
          <w:p w14:paraId="334AA67C" w14:textId="77777777" w:rsidR="00256BE9" w:rsidRPr="00973AFD" w:rsidRDefault="00256BE9" w:rsidP="00256BE9">
            <w:pPr>
              <w:rPr>
                <w:rFonts w:ascii="Arial" w:hAnsi="Arial" w:cs="Arial"/>
                <w:sz w:val="22"/>
                <w:szCs w:val="22"/>
              </w:rPr>
            </w:pPr>
          </w:p>
        </w:tc>
        <w:tc>
          <w:tcPr>
            <w:tcW w:w="2430" w:type="dxa"/>
          </w:tcPr>
          <w:p w14:paraId="7A8D675F" w14:textId="3D139512" w:rsidR="00256BE9" w:rsidRPr="00973AFD" w:rsidRDefault="00256BE9" w:rsidP="00256BE9">
            <w:pPr>
              <w:rPr>
                <w:rFonts w:ascii="Arial" w:hAnsi="Arial" w:cs="Arial"/>
                <w:sz w:val="22"/>
                <w:szCs w:val="22"/>
              </w:rPr>
            </w:pPr>
          </w:p>
        </w:tc>
        <w:tc>
          <w:tcPr>
            <w:tcW w:w="2610" w:type="dxa"/>
          </w:tcPr>
          <w:p w14:paraId="0DC57B28" w14:textId="77777777" w:rsidR="00256BE9" w:rsidRDefault="00256BE9" w:rsidP="00256BE9">
            <w:pPr>
              <w:autoSpaceDE w:val="0"/>
              <w:autoSpaceDN w:val="0"/>
              <w:adjustRightInd w:val="0"/>
              <w:rPr>
                <w:rFonts w:ascii="Arial" w:hAnsi="Arial" w:cs="Arial"/>
                <w:sz w:val="22"/>
                <w:szCs w:val="22"/>
              </w:rPr>
            </w:pPr>
            <w:r w:rsidRPr="00436C82">
              <w:rPr>
                <w:rFonts w:ascii="Arial" w:hAnsi="Arial" w:cs="Arial"/>
                <w:sz w:val="22"/>
                <w:szCs w:val="22"/>
              </w:rPr>
              <w:t>33-46-</w:t>
            </w:r>
            <w:r>
              <w:rPr>
                <w:rFonts w:ascii="Arial" w:hAnsi="Arial" w:cs="Arial"/>
                <w:sz w:val="22"/>
                <w:szCs w:val="22"/>
              </w:rPr>
              <w:t xml:space="preserve">5 </w:t>
            </w:r>
            <w:r w:rsidRPr="00581D1A">
              <w:rPr>
                <w:rFonts w:ascii="Arial" w:hAnsi="Arial" w:cs="Arial"/>
                <w:sz w:val="22"/>
                <w:szCs w:val="22"/>
              </w:rPr>
              <w:t>(a) A private review agent or utilization review entity may not conduct utilization review</w:t>
            </w:r>
            <w:r>
              <w:rPr>
                <w:rFonts w:ascii="Arial" w:hAnsi="Arial" w:cs="Arial"/>
                <w:sz w:val="22"/>
                <w:szCs w:val="22"/>
              </w:rPr>
              <w:t xml:space="preserve"> </w:t>
            </w:r>
            <w:r w:rsidRPr="00581D1A">
              <w:rPr>
                <w:rFonts w:ascii="Arial" w:hAnsi="Arial" w:cs="Arial"/>
                <w:sz w:val="22"/>
                <w:szCs w:val="22"/>
              </w:rPr>
              <w:t>of health care healthcare provided in this state unless the Commissioner has granted the</w:t>
            </w:r>
            <w:r>
              <w:rPr>
                <w:rFonts w:ascii="Arial" w:hAnsi="Arial" w:cs="Arial"/>
                <w:sz w:val="22"/>
                <w:szCs w:val="22"/>
              </w:rPr>
              <w:t xml:space="preserve"> </w:t>
            </w:r>
            <w:r w:rsidRPr="00581D1A">
              <w:rPr>
                <w:rFonts w:ascii="Arial" w:hAnsi="Arial" w:cs="Arial"/>
                <w:sz w:val="22"/>
                <w:szCs w:val="22"/>
              </w:rPr>
              <w:t>private review agent or utilization review entity a certificate pursuant to this chapter. No</w:t>
            </w:r>
            <w:r>
              <w:rPr>
                <w:rFonts w:ascii="Arial" w:hAnsi="Arial" w:cs="Arial"/>
                <w:sz w:val="22"/>
                <w:szCs w:val="22"/>
              </w:rPr>
              <w:t xml:space="preserve"> </w:t>
            </w:r>
            <w:r w:rsidRPr="00581D1A">
              <w:rPr>
                <w:rFonts w:ascii="Arial" w:hAnsi="Arial" w:cs="Arial"/>
                <w:sz w:val="22"/>
                <w:szCs w:val="22"/>
              </w:rPr>
              <w:t>individual conducting utilization review shall require certification if such utilization review</w:t>
            </w:r>
            <w:r>
              <w:rPr>
                <w:rFonts w:ascii="Arial" w:hAnsi="Arial" w:cs="Arial"/>
                <w:sz w:val="22"/>
                <w:szCs w:val="22"/>
              </w:rPr>
              <w:t xml:space="preserve"> </w:t>
            </w:r>
            <w:r w:rsidRPr="00581D1A">
              <w:rPr>
                <w:rFonts w:ascii="Arial" w:hAnsi="Arial" w:cs="Arial"/>
                <w:sz w:val="22"/>
                <w:szCs w:val="22"/>
              </w:rPr>
              <w:t>is performed within the scope of such person's employment with an entity already certified</w:t>
            </w:r>
            <w:r>
              <w:rPr>
                <w:rFonts w:ascii="Arial" w:hAnsi="Arial" w:cs="Arial"/>
                <w:sz w:val="22"/>
                <w:szCs w:val="22"/>
              </w:rPr>
              <w:t xml:space="preserve"> </w:t>
            </w:r>
            <w:r w:rsidRPr="00581D1A">
              <w:rPr>
                <w:rFonts w:ascii="Arial" w:hAnsi="Arial" w:cs="Arial"/>
                <w:sz w:val="22"/>
                <w:szCs w:val="22"/>
              </w:rPr>
              <w:t>pursuant to this Code section.</w:t>
            </w:r>
          </w:p>
          <w:p w14:paraId="6C125637" w14:textId="77777777" w:rsidR="00256BE9" w:rsidRDefault="00256BE9" w:rsidP="00256BE9">
            <w:pPr>
              <w:autoSpaceDE w:val="0"/>
              <w:autoSpaceDN w:val="0"/>
              <w:adjustRightInd w:val="0"/>
              <w:rPr>
                <w:rFonts w:ascii="Arial" w:hAnsi="Arial" w:cs="Arial"/>
                <w:sz w:val="22"/>
                <w:szCs w:val="22"/>
              </w:rPr>
            </w:pPr>
            <w:r w:rsidRPr="00581D1A">
              <w:rPr>
                <w:rFonts w:ascii="Arial" w:hAnsi="Arial" w:cs="Arial"/>
                <w:sz w:val="22"/>
                <w:szCs w:val="22"/>
              </w:rPr>
              <w:t>(b) The Commissioner shall issue a certificate to an applicant that has met all the</w:t>
            </w:r>
            <w:r>
              <w:rPr>
                <w:rFonts w:ascii="Arial" w:hAnsi="Arial" w:cs="Arial"/>
                <w:sz w:val="22"/>
                <w:szCs w:val="22"/>
              </w:rPr>
              <w:t xml:space="preserve"> </w:t>
            </w:r>
            <w:r w:rsidRPr="00581D1A">
              <w:rPr>
                <w:rFonts w:ascii="Arial" w:hAnsi="Arial" w:cs="Arial"/>
                <w:sz w:val="22"/>
                <w:szCs w:val="22"/>
              </w:rPr>
              <w:t xml:space="preserve">requirements of this chapter and all </w:t>
            </w:r>
            <w:r w:rsidRPr="00581D1A">
              <w:rPr>
                <w:rFonts w:ascii="Arial" w:hAnsi="Arial" w:cs="Arial"/>
                <w:sz w:val="22"/>
                <w:szCs w:val="22"/>
              </w:rPr>
              <w:lastRenderedPageBreak/>
              <w:t>applicable regulations of the Commissioner.</w:t>
            </w:r>
            <w:r>
              <w:rPr>
                <w:rFonts w:ascii="Arial" w:hAnsi="Arial" w:cs="Arial"/>
                <w:sz w:val="22"/>
                <w:szCs w:val="22"/>
              </w:rPr>
              <w:t xml:space="preserve"> </w:t>
            </w:r>
          </w:p>
          <w:p w14:paraId="69FE9672" w14:textId="16826E06" w:rsidR="00256BE9" w:rsidRPr="00973AFD" w:rsidRDefault="00256BE9" w:rsidP="00256BE9">
            <w:pPr>
              <w:rPr>
                <w:rFonts w:ascii="Arial" w:hAnsi="Arial" w:cs="Arial"/>
                <w:sz w:val="22"/>
                <w:szCs w:val="22"/>
              </w:rPr>
            </w:pPr>
            <w:r w:rsidRPr="00581D1A">
              <w:rPr>
                <w:rFonts w:ascii="Arial" w:hAnsi="Arial" w:cs="Arial"/>
                <w:sz w:val="22"/>
                <w:szCs w:val="22"/>
              </w:rPr>
              <w:t>(c) A certificate issued under this chapter is not transferable without the prior approval of</w:t>
            </w:r>
            <w:r>
              <w:rPr>
                <w:rFonts w:ascii="Arial" w:hAnsi="Arial" w:cs="Arial"/>
                <w:sz w:val="22"/>
                <w:szCs w:val="22"/>
              </w:rPr>
              <w:t xml:space="preserve"> </w:t>
            </w:r>
            <w:r w:rsidRPr="00581D1A">
              <w:rPr>
                <w:rFonts w:ascii="Arial" w:hAnsi="Arial" w:cs="Arial"/>
                <w:sz w:val="22"/>
                <w:szCs w:val="22"/>
              </w:rPr>
              <w:t>the Commissioner.</w:t>
            </w:r>
          </w:p>
        </w:tc>
        <w:tc>
          <w:tcPr>
            <w:tcW w:w="2610" w:type="dxa"/>
          </w:tcPr>
          <w:p w14:paraId="1711C2E6" w14:textId="77777777" w:rsidR="00256BE9" w:rsidRPr="00436C82" w:rsidRDefault="00256BE9" w:rsidP="00256BE9">
            <w:pPr>
              <w:autoSpaceDE w:val="0"/>
              <w:autoSpaceDN w:val="0"/>
              <w:adjustRightInd w:val="0"/>
              <w:rPr>
                <w:rFonts w:ascii="Arial" w:hAnsi="Arial" w:cs="Arial"/>
                <w:sz w:val="22"/>
                <w:szCs w:val="22"/>
              </w:rPr>
            </w:pPr>
          </w:p>
        </w:tc>
      </w:tr>
      <w:tr w:rsidR="00256BE9" w:rsidRPr="00973AFD" w14:paraId="613A73BB" w14:textId="1F6EC241" w:rsidTr="00256BE9">
        <w:tc>
          <w:tcPr>
            <w:tcW w:w="1698" w:type="dxa"/>
          </w:tcPr>
          <w:p w14:paraId="0C1C917D" w14:textId="4F9FDDD6" w:rsidR="00256BE9" w:rsidRDefault="00256BE9" w:rsidP="00256BE9">
            <w:pPr>
              <w:rPr>
                <w:rStyle w:val="markedcontent"/>
                <w:rFonts w:ascii="Arial" w:hAnsi="Arial" w:cs="Arial"/>
                <w:sz w:val="22"/>
                <w:szCs w:val="22"/>
              </w:rPr>
            </w:pPr>
            <w:r>
              <w:rPr>
                <w:rStyle w:val="markedcontent"/>
                <w:rFonts w:ascii="Arial" w:hAnsi="Arial" w:cs="Arial"/>
                <w:sz w:val="22"/>
                <w:szCs w:val="22"/>
              </w:rPr>
              <w:t>Length of approval</w:t>
            </w:r>
          </w:p>
        </w:tc>
        <w:tc>
          <w:tcPr>
            <w:tcW w:w="2506" w:type="dxa"/>
          </w:tcPr>
          <w:p w14:paraId="3F061D03" w14:textId="77777777" w:rsidR="00256BE9" w:rsidRPr="00C45C35" w:rsidRDefault="00256BE9" w:rsidP="00256BE9">
            <w:pPr>
              <w:rPr>
                <w:rFonts w:ascii="Arial" w:hAnsi="Arial" w:cs="Arial"/>
                <w:sz w:val="22"/>
                <w:szCs w:val="22"/>
              </w:rPr>
            </w:pPr>
          </w:p>
        </w:tc>
        <w:tc>
          <w:tcPr>
            <w:tcW w:w="2631" w:type="dxa"/>
          </w:tcPr>
          <w:p w14:paraId="6893C332" w14:textId="77777777" w:rsidR="00256BE9" w:rsidRPr="00973AFD" w:rsidRDefault="00256BE9" w:rsidP="00256BE9">
            <w:pPr>
              <w:rPr>
                <w:rStyle w:val="markedcontent"/>
                <w:rFonts w:ascii="Arial" w:hAnsi="Arial" w:cs="Arial"/>
                <w:sz w:val="22"/>
                <w:szCs w:val="22"/>
              </w:rPr>
            </w:pPr>
          </w:p>
        </w:tc>
        <w:tc>
          <w:tcPr>
            <w:tcW w:w="2430" w:type="dxa"/>
          </w:tcPr>
          <w:p w14:paraId="5C883D17" w14:textId="77777777" w:rsidR="00256BE9" w:rsidRPr="00973AFD" w:rsidRDefault="00256BE9" w:rsidP="00256BE9">
            <w:pPr>
              <w:rPr>
                <w:rFonts w:ascii="Arial" w:hAnsi="Arial" w:cs="Arial"/>
                <w:sz w:val="22"/>
                <w:szCs w:val="22"/>
              </w:rPr>
            </w:pPr>
          </w:p>
        </w:tc>
        <w:tc>
          <w:tcPr>
            <w:tcW w:w="2430" w:type="dxa"/>
          </w:tcPr>
          <w:p w14:paraId="28A6D214" w14:textId="51E1BFCF" w:rsidR="00256BE9" w:rsidRPr="00973AFD" w:rsidRDefault="00256BE9" w:rsidP="00256BE9">
            <w:pPr>
              <w:rPr>
                <w:rFonts w:ascii="Arial" w:hAnsi="Arial" w:cs="Arial"/>
                <w:sz w:val="22"/>
                <w:szCs w:val="22"/>
              </w:rPr>
            </w:pPr>
          </w:p>
        </w:tc>
        <w:tc>
          <w:tcPr>
            <w:tcW w:w="2610" w:type="dxa"/>
          </w:tcPr>
          <w:p w14:paraId="7FA1B64E" w14:textId="24C3A157" w:rsidR="00256BE9" w:rsidRPr="00973AFD" w:rsidRDefault="00256BE9" w:rsidP="00256BE9">
            <w:pPr>
              <w:rPr>
                <w:rFonts w:ascii="Arial" w:hAnsi="Arial" w:cs="Arial"/>
                <w:sz w:val="22"/>
                <w:szCs w:val="22"/>
              </w:rPr>
            </w:pPr>
            <w:r w:rsidRPr="00F34999">
              <w:rPr>
                <w:rFonts w:ascii="Arial" w:hAnsi="Arial" w:cs="Arial"/>
                <w:sz w:val="22"/>
                <w:szCs w:val="22"/>
              </w:rPr>
              <w:t>33-46-23.</w:t>
            </w:r>
            <w:r>
              <w:rPr>
                <w:rFonts w:ascii="Arial" w:hAnsi="Arial" w:cs="Arial"/>
                <w:sz w:val="22"/>
                <w:szCs w:val="22"/>
              </w:rPr>
              <w:t xml:space="preserve"> </w:t>
            </w:r>
            <w:r w:rsidRPr="00F34999">
              <w:rPr>
                <w:rFonts w:ascii="Arial" w:hAnsi="Arial" w:cs="Arial"/>
                <w:sz w:val="22"/>
                <w:szCs w:val="22"/>
              </w:rPr>
              <w:t>If initial healthcare services are performed within 45 business days of approval of prior</w:t>
            </w:r>
            <w:r>
              <w:rPr>
                <w:rFonts w:ascii="Arial" w:hAnsi="Arial" w:cs="Arial"/>
                <w:sz w:val="22"/>
                <w:szCs w:val="22"/>
              </w:rPr>
              <w:t xml:space="preserve"> </w:t>
            </w:r>
            <w:r w:rsidRPr="00F34999">
              <w:rPr>
                <w:rFonts w:ascii="Arial" w:hAnsi="Arial" w:cs="Arial"/>
                <w:sz w:val="22"/>
                <w:szCs w:val="22"/>
              </w:rPr>
              <w:t>authorization, the insurer shall not revoke, limit, condition, or restrict such authorization,</w:t>
            </w:r>
            <w:r>
              <w:t xml:space="preserve"> </w:t>
            </w:r>
            <w:r w:rsidRPr="00F34999">
              <w:rPr>
                <w:rFonts w:ascii="Arial" w:hAnsi="Arial" w:cs="Arial"/>
                <w:sz w:val="22"/>
                <w:szCs w:val="22"/>
              </w:rPr>
              <w:t>unless such prior authorization is for a Schedule II controlled substance or there is a billing</w:t>
            </w:r>
            <w:r>
              <w:rPr>
                <w:rFonts w:ascii="Arial" w:hAnsi="Arial" w:cs="Arial"/>
                <w:sz w:val="22"/>
                <w:szCs w:val="22"/>
              </w:rPr>
              <w:t xml:space="preserve"> </w:t>
            </w:r>
            <w:r w:rsidRPr="00F34999">
              <w:rPr>
                <w:rFonts w:ascii="Arial" w:hAnsi="Arial" w:cs="Arial"/>
                <w:sz w:val="22"/>
                <w:szCs w:val="22"/>
              </w:rPr>
              <w:t>error, fraud, material misrepresentation, or loss of coverage.</w:t>
            </w:r>
          </w:p>
        </w:tc>
        <w:tc>
          <w:tcPr>
            <w:tcW w:w="2610" w:type="dxa"/>
          </w:tcPr>
          <w:p w14:paraId="771F0323" w14:textId="77777777" w:rsidR="00256BE9" w:rsidRPr="00F34999" w:rsidRDefault="00256BE9" w:rsidP="00256BE9">
            <w:pPr>
              <w:rPr>
                <w:rFonts w:ascii="Arial" w:hAnsi="Arial" w:cs="Arial"/>
                <w:sz w:val="22"/>
                <w:szCs w:val="22"/>
              </w:rPr>
            </w:pPr>
          </w:p>
        </w:tc>
      </w:tr>
    </w:tbl>
    <w:p w14:paraId="3499E3D5" w14:textId="77777777" w:rsidR="00BE43A4" w:rsidRPr="00BE43A4" w:rsidRDefault="00BE43A4">
      <w:pPr>
        <w:rPr>
          <w:rFonts w:ascii="Arial" w:hAnsi="Arial" w:cs="Arial"/>
          <w:sz w:val="22"/>
          <w:szCs w:val="22"/>
        </w:rPr>
      </w:pPr>
    </w:p>
    <w:sectPr w:rsidR="00BE43A4" w:rsidRPr="00BE43A4" w:rsidSect="00D23ECD">
      <w:headerReference w:type="default" r:id="rId12"/>
      <w:footerReference w:type="even" r:id="rId13"/>
      <w:footerReference w:type="default" r:id="rId14"/>
      <w:pgSz w:w="20160" w:h="122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A4BB" w14:textId="77777777" w:rsidR="00D51FDF" w:rsidRDefault="00D51FDF" w:rsidP="00BE43A4">
      <w:r>
        <w:separator/>
      </w:r>
    </w:p>
  </w:endnote>
  <w:endnote w:type="continuationSeparator" w:id="0">
    <w:p w14:paraId="42BDCC5C" w14:textId="77777777" w:rsidR="00D51FDF" w:rsidRDefault="00D51FDF" w:rsidP="00BE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9440625"/>
      <w:docPartObj>
        <w:docPartGallery w:val="Page Numbers (Bottom of Page)"/>
        <w:docPartUnique/>
      </w:docPartObj>
    </w:sdtPr>
    <w:sdtEndPr>
      <w:rPr>
        <w:rStyle w:val="PageNumber"/>
      </w:rPr>
    </w:sdtEndPr>
    <w:sdtContent>
      <w:p w14:paraId="6D65C6A2" w14:textId="423FEB93" w:rsidR="001D5BFE" w:rsidRDefault="001D5BFE" w:rsidP="00A920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1D140" w14:textId="77777777" w:rsidR="001D5BFE" w:rsidRDefault="001D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048B" w14:textId="3707D2D0" w:rsidR="004E130C" w:rsidRDefault="00EF1974" w:rsidP="00EF1974">
    <w:pPr>
      <w:pStyle w:val="Header"/>
      <w:tabs>
        <w:tab w:val="clear" w:pos="4680"/>
        <w:tab w:val="clear" w:pos="9360"/>
        <w:tab w:val="left" w:pos="7200"/>
      </w:tabs>
      <w:ind w:firstLine="4320"/>
    </w:pPr>
    <w:r w:rsidRPr="006319DA">
      <w:rPr>
        <w:noProof/>
      </w:rPr>
      <w:drawing>
        <wp:anchor distT="0" distB="0" distL="114300" distR="114300" simplePos="0" relativeHeight="251659264" behindDoc="1" locked="0" layoutInCell="1" allowOverlap="1" wp14:anchorId="71AD0D64" wp14:editId="2EFA11D9">
          <wp:simplePos x="0" y="0"/>
          <wp:positionH relativeFrom="page">
            <wp:posOffset>2102485</wp:posOffset>
          </wp:positionH>
          <wp:positionV relativeFrom="paragraph">
            <wp:posOffset>-158750</wp:posOffset>
          </wp:positionV>
          <wp:extent cx="892810" cy="357505"/>
          <wp:effectExtent l="0" t="0" r="0" b="0"/>
          <wp:wrapTight wrapText="bothSides">
            <wp:wrapPolygon edited="0">
              <wp:start x="6760" y="1535"/>
              <wp:lineTo x="922" y="8440"/>
              <wp:lineTo x="615" y="8440"/>
              <wp:lineTo x="3073" y="15346"/>
              <wp:lineTo x="3073" y="16881"/>
              <wp:lineTo x="4916" y="18416"/>
              <wp:lineTo x="7681" y="19950"/>
              <wp:lineTo x="16592" y="19950"/>
              <wp:lineTo x="17206" y="18416"/>
              <wp:lineTo x="20893" y="14579"/>
              <wp:lineTo x="20279" y="9975"/>
              <wp:lineTo x="8296" y="1535"/>
              <wp:lineTo x="6760" y="153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pvt-practice_full_color_rgb-pos.png"/>
                  <pic:cNvPicPr/>
                </pic:nvPicPr>
                <pic:blipFill>
                  <a:blip r:embed="rId1">
                    <a:extLst>
                      <a:ext uri="{28A0092B-C50C-407E-A947-70E740481C1C}">
                        <a14:useLocalDpi xmlns:a14="http://schemas.microsoft.com/office/drawing/2010/main" val="0"/>
                      </a:ext>
                    </a:extLst>
                  </a:blip>
                  <a:stretch>
                    <a:fillRect/>
                  </a:stretch>
                </pic:blipFill>
                <pic:spPr>
                  <a:xfrm>
                    <a:off x="0" y="0"/>
                    <a:ext cx="892810" cy="357505"/>
                  </a:xfrm>
                  <a:prstGeom prst="rect">
                    <a:avLst/>
                  </a:prstGeom>
                </pic:spPr>
              </pic:pic>
            </a:graphicData>
          </a:graphic>
          <wp14:sizeRelH relativeFrom="margin">
            <wp14:pctWidth>0</wp14:pctWidth>
          </wp14:sizeRelH>
          <wp14:sizeRelV relativeFrom="margin">
            <wp14:pctHeight>0</wp14:pctHeight>
          </wp14:sizeRelV>
        </wp:anchor>
      </w:drawing>
    </w:r>
    <w:r w:rsidRPr="006319DA">
      <w:rPr>
        <w:noProof/>
      </w:rPr>
      <w:drawing>
        <wp:anchor distT="0" distB="0" distL="114300" distR="114300" simplePos="0" relativeHeight="251660288" behindDoc="1" locked="0" layoutInCell="1" allowOverlap="1" wp14:anchorId="413CA1BD" wp14:editId="50A94293">
          <wp:simplePos x="0" y="0"/>
          <wp:positionH relativeFrom="margin">
            <wp:posOffset>63012</wp:posOffset>
          </wp:positionH>
          <wp:positionV relativeFrom="paragraph">
            <wp:posOffset>-109415</wp:posOffset>
          </wp:positionV>
          <wp:extent cx="942340" cy="264795"/>
          <wp:effectExtent l="0" t="0" r="0" b="1905"/>
          <wp:wrapTight wrapText="bothSides">
            <wp:wrapPolygon edited="0">
              <wp:start x="0" y="0"/>
              <wp:lineTo x="0" y="20719"/>
              <wp:lineTo x="21251" y="20719"/>
              <wp:lineTo x="212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PT Logo.jpg"/>
                  <pic:cNvPicPr/>
                </pic:nvPicPr>
                <pic:blipFill>
                  <a:blip r:embed="rId2">
                    <a:extLst>
                      <a:ext uri="{28A0092B-C50C-407E-A947-70E740481C1C}">
                        <a14:useLocalDpi xmlns:a14="http://schemas.microsoft.com/office/drawing/2010/main" val="0"/>
                      </a:ext>
                    </a:extLst>
                  </a:blip>
                  <a:stretch>
                    <a:fillRect/>
                  </a:stretch>
                </pic:blipFill>
                <pic:spPr>
                  <a:xfrm>
                    <a:off x="0" y="0"/>
                    <a:ext cx="942340" cy="264795"/>
                  </a:xfrm>
                  <a:prstGeom prst="rect">
                    <a:avLst/>
                  </a:prstGeom>
                </pic:spPr>
              </pic:pic>
            </a:graphicData>
          </a:graphic>
          <wp14:sizeRelH relativeFrom="margin">
            <wp14:pctWidth>0</wp14:pctWidth>
          </wp14:sizeRelH>
          <wp14:sizeRelV relativeFrom="margin">
            <wp14:pctHeight>0</wp14:pctHeight>
          </wp14:sizeRelV>
        </wp:anchor>
      </w:drawing>
    </w:r>
    <w:r w:rsidR="004E130C">
      <w:t xml:space="preserve">Page </w:t>
    </w:r>
    <w:r w:rsidR="001D5BFE">
      <w:fldChar w:fldCharType="begin"/>
    </w:r>
    <w:r w:rsidR="001D5BFE">
      <w:instrText xml:space="preserve"> PAGE  \* MERGEFORMAT </w:instrText>
    </w:r>
    <w:r w:rsidR="001D5BFE">
      <w:fldChar w:fldCharType="separate"/>
    </w:r>
    <w:r w:rsidR="001D5BFE">
      <w:rPr>
        <w:noProof/>
      </w:rPr>
      <w:t>11</w:t>
    </w:r>
    <w:r w:rsidR="001D5BFE">
      <w:fldChar w:fldCharType="end"/>
    </w:r>
    <w:r w:rsidR="004E130C">
      <w:t xml:space="preserve"> of </w:t>
    </w:r>
    <w:r w:rsidR="00D51FDF">
      <w:fldChar w:fldCharType="begin"/>
    </w:r>
    <w:r w:rsidR="00D51FDF">
      <w:instrText xml:space="preserve"> NUMPAGES  \* MERGEFORMAT </w:instrText>
    </w:r>
    <w:r w:rsidR="00D51FDF">
      <w:fldChar w:fldCharType="separate"/>
    </w:r>
    <w:r w:rsidR="004E130C">
      <w:rPr>
        <w:noProof/>
      </w:rPr>
      <w:t>4</w:t>
    </w:r>
    <w:r w:rsidR="00D51FDF">
      <w:rPr>
        <w:noProof/>
      </w:rPr>
      <w:fldChar w:fldCharType="end"/>
    </w:r>
    <w:r>
      <w:rPr>
        <w:noProof/>
      </w:rPr>
      <w:tab/>
    </w:r>
    <w:r>
      <w:rPr>
        <w:noProof/>
      </w:rPr>
      <w:tab/>
    </w:r>
    <w:r>
      <w:rPr>
        <w:noProof/>
      </w:rPr>
      <w:tab/>
    </w:r>
    <w:r>
      <w:rPr>
        <w:noProof/>
      </w:rPr>
      <w:tab/>
    </w:r>
    <w:r>
      <w:rPr>
        <w:noProof/>
      </w:rPr>
      <w:tab/>
    </w:r>
    <w:r>
      <w:rPr>
        <w:noProof/>
      </w:rPr>
      <w:tab/>
    </w:r>
    <w:r>
      <w:rPr>
        <w:noProof/>
      </w:rPr>
      <w:tab/>
    </w:r>
    <w:r w:rsidR="00A315E2">
      <w:rPr>
        <w:noProof/>
      </w:rPr>
      <w:tab/>
    </w:r>
    <w:r>
      <w:rPr>
        <w:noProof/>
      </w:rPr>
      <w:tab/>
    </w:r>
    <w:r w:rsidR="00A315E2">
      <w:fldChar w:fldCharType="begin"/>
    </w:r>
    <w:r w:rsidR="00A315E2">
      <w:instrText xml:space="preserve"> DATE \@ "M/d/yy h:mm am/pm" </w:instrText>
    </w:r>
    <w:r w:rsidR="00A315E2">
      <w:fldChar w:fldCharType="separate"/>
    </w:r>
    <w:r w:rsidR="00A315E2">
      <w:rPr>
        <w:noProof/>
      </w:rPr>
      <w:t>10/30/23 9:24 AM</w:t>
    </w:r>
    <w:r w:rsidR="00A315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C164" w14:textId="77777777" w:rsidR="00D51FDF" w:rsidRDefault="00D51FDF" w:rsidP="00BE43A4">
      <w:r>
        <w:separator/>
      </w:r>
    </w:p>
  </w:footnote>
  <w:footnote w:type="continuationSeparator" w:id="0">
    <w:p w14:paraId="193CA964" w14:textId="77777777" w:rsidR="00D51FDF" w:rsidRDefault="00D51FDF" w:rsidP="00BE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1838" w14:textId="42006816" w:rsidR="00C12A39" w:rsidRDefault="00C12A39">
    <w:pPr>
      <w:pStyle w:val="Header"/>
    </w:pPr>
  </w:p>
  <w:tbl>
    <w:tblPr>
      <w:tblStyle w:val="TableGrid"/>
      <w:tblW w:w="16915" w:type="dxa"/>
      <w:tblLayout w:type="fixed"/>
      <w:tblCellMar>
        <w:left w:w="115" w:type="dxa"/>
        <w:right w:w="115" w:type="dxa"/>
      </w:tblCellMar>
      <w:tblLook w:val="04A0" w:firstRow="1" w:lastRow="0" w:firstColumn="1" w:lastColumn="0" w:noHBand="0" w:noVBand="1"/>
    </w:tblPr>
    <w:tblGrid>
      <w:gridCol w:w="1698"/>
      <w:gridCol w:w="2506"/>
      <w:gridCol w:w="2631"/>
      <w:gridCol w:w="2430"/>
      <w:gridCol w:w="2430"/>
      <w:gridCol w:w="2610"/>
      <w:gridCol w:w="2610"/>
    </w:tblGrid>
    <w:tr w:rsidR="00256BE9" w:rsidRPr="00973AFD" w14:paraId="4403DEEC" w14:textId="77777777" w:rsidTr="00106592">
      <w:tc>
        <w:tcPr>
          <w:tcW w:w="1698" w:type="dxa"/>
        </w:tcPr>
        <w:p w14:paraId="6787ECA1" w14:textId="77777777" w:rsidR="00256BE9" w:rsidRPr="00973AFD" w:rsidRDefault="00256BE9" w:rsidP="00256BE9">
          <w:pPr>
            <w:jc w:val="center"/>
            <w:rPr>
              <w:rFonts w:ascii="Arial" w:hAnsi="Arial" w:cs="Arial"/>
              <w:sz w:val="22"/>
              <w:szCs w:val="22"/>
              <w:u w:val="single"/>
            </w:rPr>
          </w:pPr>
          <w:r w:rsidRPr="00973AFD">
            <w:rPr>
              <w:rFonts w:ascii="Arial" w:hAnsi="Arial" w:cs="Arial"/>
              <w:sz w:val="22"/>
              <w:szCs w:val="22"/>
              <w:u w:val="single"/>
            </w:rPr>
            <w:t>Issue</w:t>
          </w:r>
        </w:p>
      </w:tc>
      <w:tc>
        <w:tcPr>
          <w:tcW w:w="2506" w:type="dxa"/>
        </w:tcPr>
        <w:p w14:paraId="648DD3EC" w14:textId="77777777" w:rsidR="00256BE9" w:rsidRPr="00C45C35" w:rsidRDefault="00256BE9" w:rsidP="00256BE9">
          <w:pPr>
            <w:jc w:val="center"/>
            <w:rPr>
              <w:rFonts w:ascii="Arial" w:hAnsi="Arial" w:cs="Arial"/>
              <w:sz w:val="22"/>
              <w:szCs w:val="22"/>
              <w:u w:val="single"/>
            </w:rPr>
          </w:pPr>
          <w:r w:rsidRPr="00C45C35">
            <w:rPr>
              <w:rFonts w:ascii="Arial" w:hAnsi="Arial" w:cs="Arial"/>
              <w:sz w:val="22"/>
              <w:szCs w:val="22"/>
              <w:u w:val="single"/>
            </w:rPr>
            <w:t>PPS Draft UM Principles</w:t>
          </w:r>
        </w:p>
      </w:tc>
      <w:tc>
        <w:tcPr>
          <w:tcW w:w="2631" w:type="dxa"/>
        </w:tcPr>
        <w:p w14:paraId="3007F31B" w14:textId="77777777" w:rsidR="00256BE9" w:rsidRPr="00973AFD" w:rsidRDefault="00256BE9" w:rsidP="00256BE9">
          <w:pPr>
            <w:jc w:val="center"/>
            <w:rPr>
              <w:rFonts w:ascii="Arial" w:hAnsi="Arial" w:cs="Arial"/>
              <w:sz w:val="22"/>
              <w:szCs w:val="22"/>
              <w:u w:val="single"/>
            </w:rPr>
          </w:pPr>
          <w:r w:rsidRPr="00973AFD">
            <w:rPr>
              <w:rFonts w:ascii="Arial" w:hAnsi="Arial" w:cs="Arial"/>
              <w:sz w:val="22"/>
              <w:szCs w:val="22"/>
              <w:u w:val="single"/>
            </w:rPr>
            <w:t>AMA Consensus Standard</w:t>
          </w:r>
          <w:r w:rsidRPr="00973AFD">
            <w:rPr>
              <w:rFonts w:ascii="Arial" w:hAnsi="Arial" w:cs="Arial"/>
              <w:sz w:val="22"/>
              <w:szCs w:val="22"/>
              <w:u w:val="single"/>
            </w:rPr>
            <w:br/>
            <w:t>(APTA Supports)</w:t>
          </w:r>
        </w:p>
      </w:tc>
      <w:tc>
        <w:tcPr>
          <w:tcW w:w="2430" w:type="dxa"/>
        </w:tcPr>
        <w:p w14:paraId="3C061BA4" w14:textId="77777777" w:rsidR="00256BE9" w:rsidRDefault="00D51FDF" w:rsidP="00256BE9">
          <w:pPr>
            <w:jc w:val="center"/>
            <w:rPr>
              <w:rFonts w:ascii="Arial" w:hAnsi="Arial" w:cs="Arial"/>
              <w:sz w:val="22"/>
              <w:szCs w:val="22"/>
              <w:u w:val="single"/>
            </w:rPr>
          </w:pPr>
          <w:hyperlink r:id="rId1" w:history="1">
            <w:r w:rsidR="00256BE9" w:rsidRPr="006272D7">
              <w:rPr>
                <w:rStyle w:val="Hyperlink"/>
                <w:rFonts w:ascii="Arial" w:hAnsi="Arial" w:cs="Arial"/>
                <w:sz w:val="22"/>
                <w:szCs w:val="22"/>
              </w:rPr>
              <w:t>California legislation</w:t>
            </w:r>
          </w:hyperlink>
          <w:r w:rsidR="00256BE9">
            <w:rPr>
              <w:rStyle w:val="Hyperlink"/>
              <w:rFonts w:ascii="Arial" w:hAnsi="Arial" w:cs="Arial"/>
              <w:sz w:val="22"/>
              <w:szCs w:val="22"/>
            </w:rPr>
            <w:t xml:space="preserve"> - vetoed</w:t>
          </w:r>
        </w:p>
      </w:tc>
      <w:tc>
        <w:tcPr>
          <w:tcW w:w="2430" w:type="dxa"/>
        </w:tcPr>
        <w:p w14:paraId="515F2B55" w14:textId="77777777" w:rsidR="00256BE9" w:rsidRPr="00973AFD" w:rsidRDefault="00256BE9" w:rsidP="00256BE9">
          <w:pPr>
            <w:jc w:val="center"/>
            <w:rPr>
              <w:rFonts w:ascii="Arial" w:hAnsi="Arial" w:cs="Arial"/>
              <w:sz w:val="22"/>
              <w:szCs w:val="22"/>
              <w:u w:val="single"/>
            </w:rPr>
          </w:pPr>
          <w:r>
            <w:rPr>
              <w:rFonts w:ascii="Arial" w:hAnsi="Arial" w:cs="Arial"/>
              <w:sz w:val="22"/>
              <w:szCs w:val="22"/>
              <w:u w:val="single"/>
            </w:rPr>
            <w:t>Nebraska legislation</w:t>
          </w:r>
        </w:p>
      </w:tc>
      <w:tc>
        <w:tcPr>
          <w:tcW w:w="2610" w:type="dxa"/>
        </w:tcPr>
        <w:p w14:paraId="4B0E4407" w14:textId="77777777" w:rsidR="00256BE9" w:rsidRDefault="00256BE9" w:rsidP="00256BE9">
          <w:pPr>
            <w:jc w:val="center"/>
            <w:rPr>
              <w:rFonts w:ascii="Arial" w:hAnsi="Arial" w:cs="Arial"/>
              <w:sz w:val="22"/>
              <w:szCs w:val="22"/>
              <w:u w:val="single"/>
            </w:rPr>
          </w:pPr>
          <w:r w:rsidRPr="00436C82">
            <w:rPr>
              <w:rFonts w:ascii="Arial" w:hAnsi="Arial" w:cs="Arial"/>
              <w:sz w:val="22"/>
              <w:szCs w:val="22"/>
              <w:u w:val="single"/>
            </w:rPr>
            <w:t>Georgia law</w:t>
          </w:r>
        </w:p>
      </w:tc>
      <w:tc>
        <w:tcPr>
          <w:tcW w:w="2610" w:type="dxa"/>
        </w:tcPr>
        <w:p w14:paraId="7D54ACD0" w14:textId="77777777" w:rsidR="00256BE9" w:rsidRDefault="00D51FDF" w:rsidP="00256BE9">
          <w:pPr>
            <w:jc w:val="center"/>
            <w:rPr>
              <w:rStyle w:val="Hyperlink"/>
              <w:rFonts w:ascii="Arial" w:hAnsi="Arial" w:cs="Arial"/>
              <w:sz w:val="22"/>
              <w:szCs w:val="22"/>
            </w:rPr>
          </w:pPr>
          <w:hyperlink r:id="rId2" w:history="1">
            <w:r w:rsidR="00256BE9" w:rsidRPr="00256BE9">
              <w:rPr>
                <w:rStyle w:val="Hyperlink"/>
                <w:rFonts w:ascii="Arial" w:hAnsi="Arial" w:cs="Arial"/>
                <w:sz w:val="22"/>
                <w:szCs w:val="22"/>
              </w:rPr>
              <w:t>Maine statute</w:t>
            </w:r>
          </w:hyperlink>
        </w:p>
        <w:p w14:paraId="34769376" w14:textId="77777777" w:rsidR="00256BE9" w:rsidRPr="00436C82" w:rsidRDefault="00D51FDF" w:rsidP="00256BE9">
          <w:pPr>
            <w:jc w:val="center"/>
            <w:rPr>
              <w:rFonts w:ascii="Arial" w:hAnsi="Arial" w:cs="Arial"/>
              <w:sz w:val="22"/>
              <w:szCs w:val="22"/>
              <w:u w:val="single"/>
            </w:rPr>
          </w:pPr>
          <w:hyperlink r:id="rId3" w:history="1">
            <w:r w:rsidR="00256BE9" w:rsidRPr="00256BE9">
              <w:rPr>
                <w:rStyle w:val="Hyperlink"/>
                <w:rFonts w:ascii="Arial" w:hAnsi="Arial" w:cs="Arial"/>
                <w:sz w:val="22"/>
                <w:szCs w:val="22"/>
              </w:rPr>
              <w:t xml:space="preserve">– </w:t>
            </w:r>
            <w:r w:rsidR="00256BE9">
              <w:rPr>
                <w:rStyle w:val="Hyperlink"/>
                <w:rFonts w:ascii="Arial" w:hAnsi="Arial" w:cs="Arial"/>
                <w:sz w:val="22"/>
                <w:szCs w:val="22"/>
              </w:rPr>
              <w:t>signed into l</w:t>
            </w:r>
            <w:r w:rsidR="00256BE9" w:rsidRPr="00256BE9">
              <w:rPr>
                <w:rStyle w:val="Hyperlink"/>
                <w:rFonts w:ascii="Arial" w:hAnsi="Arial" w:cs="Arial"/>
                <w:sz w:val="22"/>
                <w:szCs w:val="22"/>
              </w:rPr>
              <w:t>aw 6/23/2023</w:t>
            </w:r>
          </w:hyperlink>
        </w:p>
      </w:tc>
    </w:tr>
  </w:tbl>
  <w:p w14:paraId="1C1FC5DC" w14:textId="6097FE37" w:rsidR="00C12A39" w:rsidRDefault="00C12A39">
    <w:pPr>
      <w:pStyle w:val="Header"/>
    </w:pPr>
  </w:p>
  <w:p w14:paraId="2648CF01" w14:textId="77777777" w:rsidR="00C12A39" w:rsidRDefault="00C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A67A6"/>
    <w:multiLevelType w:val="hybridMultilevel"/>
    <w:tmpl w:val="171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F4DB3"/>
    <w:multiLevelType w:val="multilevel"/>
    <w:tmpl w:val="47DC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61"/>
    <w:rsid w:val="000352CA"/>
    <w:rsid w:val="00056D5D"/>
    <w:rsid w:val="000F635E"/>
    <w:rsid w:val="00195633"/>
    <w:rsid w:val="001D5BFE"/>
    <w:rsid w:val="001E0993"/>
    <w:rsid w:val="0020785C"/>
    <w:rsid w:val="00244715"/>
    <w:rsid w:val="00256BE9"/>
    <w:rsid w:val="003320EB"/>
    <w:rsid w:val="003C2DE0"/>
    <w:rsid w:val="003D1B4F"/>
    <w:rsid w:val="004166A1"/>
    <w:rsid w:val="00436C82"/>
    <w:rsid w:val="0044631C"/>
    <w:rsid w:val="004D44E1"/>
    <w:rsid w:val="004D694A"/>
    <w:rsid w:val="004E130C"/>
    <w:rsid w:val="00581D1A"/>
    <w:rsid w:val="0059474E"/>
    <w:rsid w:val="005E6A93"/>
    <w:rsid w:val="006272D7"/>
    <w:rsid w:val="006966C4"/>
    <w:rsid w:val="006C0DBC"/>
    <w:rsid w:val="007454BB"/>
    <w:rsid w:val="00973AFD"/>
    <w:rsid w:val="00A315E2"/>
    <w:rsid w:val="00A545C9"/>
    <w:rsid w:val="00AD7C87"/>
    <w:rsid w:val="00B2151E"/>
    <w:rsid w:val="00BA0057"/>
    <w:rsid w:val="00BE43A4"/>
    <w:rsid w:val="00BF1461"/>
    <w:rsid w:val="00C12A39"/>
    <w:rsid w:val="00C45C35"/>
    <w:rsid w:val="00C62DB6"/>
    <w:rsid w:val="00C7362E"/>
    <w:rsid w:val="00D23ECD"/>
    <w:rsid w:val="00D42CF3"/>
    <w:rsid w:val="00D51FDF"/>
    <w:rsid w:val="00D95EED"/>
    <w:rsid w:val="00E4208B"/>
    <w:rsid w:val="00E4539E"/>
    <w:rsid w:val="00EA0928"/>
    <w:rsid w:val="00EE0E30"/>
    <w:rsid w:val="00EF1974"/>
    <w:rsid w:val="00F34999"/>
    <w:rsid w:val="00F5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31BE2"/>
  <w15:chartTrackingRefBased/>
  <w15:docId w15:val="{5C06E0D2-44DF-5D44-B667-D4F4F96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9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3A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E43A4"/>
  </w:style>
  <w:style w:type="paragraph" w:styleId="Footer">
    <w:name w:val="footer"/>
    <w:basedOn w:val="Normal"/>
    <w:link w:val="FooterChar"/>
    <w:uiPriority w:val="99"/>
    <w:unhideWhenUsed/>
    <w:rsid w:val="00BE43A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E43A4"/>
  </w:style>
  <w:style w:type="table" w:styleId="TableGrid">
    <w:name w:val="Table Grid"/>
    <w:basedOn w:val="TableNormal"/>
    <w:uiPriority w:val="39"/>
    <w:rsid w:val="00BE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E43A4"/>
  </w:style>
  <w:style w:type="paragraph" w:styleId="NormalWeb">
    <w:name w:val="Normal (Web)"/>
    <w:basedOn w:val="Normal"/>
    <w:uiPriority w:val="99"/>
    <w:semiHidden/>
    <w:unhideWhenUsed/>
    <w:rsid w:val="00973AFD"/>
    <w:pPr>
      <w:spacing w:before="100" w:beforeAutospacing="1" w:after="100" w:afterAutospacing="1"/>
    </w:pPr>
  </w:style>
  <w:style w:type="character" w:styleId="PageNumber">
    <w:name w:val="page number"/>
    <w:basedOn w:val="DefaultParagraphFont"/>
    <w:uiPriority w:val="99"/>
    <w:semiHidden/>
    <w:unhideWhenUsed/>
    <w:rsid w:val="001D5BFE"/>
  </w:style>
  <w:style w:type="paragraph" w:styleId="ListParagraph">
    <w:name w:val="List Paragraph"/>
    <w:basedOn w:val="Normal"/>
    <w:uiPriority w:val="34"/>
    <w:qFormat/>
    <w:rsid w:val="00C12A3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12A39"/>
    <w:rPr>
      <w:color w:val="0563C1" w:themeColor="hyperlink"/>
      <w:u w:val="single"/>
    </w:rPr>
  </w:style>
  <w:style w:type="character" w:styleId="UnresolvedMention">
    <w:name w:val="Unresolved Mention"/>
    <w:basedOn w:val="DefaultParagraphFont"/>
    <w:uiPriority w:val="99"/>
    <w:semiHidden/>
    <w:unhideWhenUsed/>
    <w:rsid w:val="00C12A39"/>
    <w:rPr>
      <w:color w:val="605E5C"/>
      <w:shd w:val="clear" w:color="auto" w:fill="E1DFDD"/>
    </w:rPr>
  </w:style>
  <w:style w:type="character" w:styleId="FollowedHyperlink">
    <w:name w:val="FollowedHyperlink"/>
    <w:basedOn w:val="DefaultParagraphFont"/>
    <w:uiPriority w:val="99"/>
    <w:semiHidden/>
    <w:unhideWhenUsed/>
    <w:rsid w:val="00C1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6768">
      <w:bodyDiv w:val="1"/>
      <w:marLeft w:val="0"/>
      <w:marRight w:val="0"/>
      <w:marTop w:val="0"/>
      <w:marBottom w:val="0"/>
      <w:divBdr>
        <w:top w:val="none" w:sz="0" w:space="0" w:color="auto"/>
        <w:left w:val="none" w:sz="0" w:space="0" w:color="auto"/>
        <w:bottom w:val="none" w:sz="0" w:space="0" w:color="auto"/>
        <w:right w:val="none" w:sz="0" w:space="0" w:color="auto"/>
      </w:divBdr>
    </w:div>
    <w:div w:id="127628732">
      <w:bodyDiv w:val="1"/>
      <w:marLeft w:val="0"/>
      <w:marRight w:val="0"/>
      <w:marTop w:val="0"/>
      <w:marBottom w:val="0"/>
      <w:divBdr>
        <w:top w:val="none" w:sz="0" w:space="0" w:color="auto"/>
        <w:left w:val="none" w:sz="0" w:space="0" w:color="auto"/>
        <w:bottom w:val="none" w:sz="0" w:space="0" w:color="auto"/>
        <w:right w:val="none" w:sz="0" w:space="0" w:color="auto"/>
      </w:divBdr>
    </w:div>
    <w:div w:id="167450503">
      <w:bodyDiv w:val="1"/>
      <w:marLeft w:val="0"/>
      <w:marRight w:val="0"/>
      <w:marTop w:val="0"/>
      <w:marBottom w:val="0"/>
      <w:divBdr>
        <w:top w:val="none" w:sz="0" w:space="0" w:color="auto"/>
        <w:left w:val="none" w:sz="0" w:space="0" w:color="auto"/>
        <w:bottom w:val="none" w:sz="0" w:space="0" w:color="auto"/>
        <w:right w:val="none" w:sz="0" w:space="0" w:color="auto"/>
      </w:divBdr>
    </w:div>
    <w:div w:id="174341833">
      <w:bodyDiv w:val="1"/>
      <w:marLeft w:val="0"/>
      <w:marRight w:val="0"/>
      <w:marTop w:val="0"/>
      <w:marBottom w:val="0"/>
      <w:divBdr>
        <w:top w:val="none" w:sz="0" w:space="0" w:color="auto"/>
        <w:left w:val="none" w:sz="0" w:space="0" w:color="auto"/>
        <w:bottom w:val="none" w:sz="0" w:space="0" w:color="auto"/>
        <w:right w:val="none" w:sz="0" w:space="0" w:color="auto"/>
      </w:divBdr>
    </w:div>
    <w:div w:id="197621605">
      <w:bodyDiv w:val="1"/>
      <w:marLeft w:val="0"/>
      <w:marRight w:val="0"/>
      <w:marTop w:val="0"/>
      <w:marBottom w:val="0"/>
      <w:divBdr>
        <w:top w:val="none" w:sz="0" w:space="0" w:color="auto"/>
        <w:left w:val="none" w:sz="0" w:space="0" w:color="auto"/>
        <w:bottom w:val="none" w:sz="0" w:space="0" w:color="auto"/>
        <w:right w:val="none" w:sz="0" w:space="0" w:color="auto"/>
      </w:divBdr>
    </w:div>
    <w:div w:id="233391608">
      <w:bodyDiv w:val="1"/>
      <w:marLeft w:val="0"/>
      <w:marRight w:val="0"/>
      <w:marTop w:val="0"/>
      <w:marBottom w:val="0"/>
      <w:divBdr>
        <w:top w:val="none" w:sz="0" w:space="0" w:color="auto"/>
        <w:left w:val="none" w:sz="0" w:space="0" w:color="auto"/>
        <w:bottom w:val="none" w:sz="0" w:space="0" w:color="auto"/>
        <w:right w:val="none" w:sz="0" w:space="0" w:color="auto"/>
      </w:divBdr>
    </w:div>
    <w:div w:id="488907698">
      <w:bodyDiv w:val="1"/>
      <w:marLeft w:val="0"/>
      <w:marRight w:val="0"/>
      <w:marTop w:val="0"/>
      <w:marBottom w:val="0"/>
      <w:divBdr>
        <w:top w:val="none" w:sz="0" w:space="0" w:color="auto"/>
        <w:left w:val="none" w:sz="0" w:space="0" w:color="auto"/>
        <w:bottom w:val="none" w:sz="0" w:space="0" w:color="auto"/>
        <w:right w:val="none" w:sz="0" w:space="0" w:color="auto"/>
      </w:divBdr>
    </w:div>
    <w:div w:id="490679582">
      <w:bodyDiv w:val="1"/>
      <w:marLeft w:val="0"/>
      <w:marRight w:val="0"/>
      <w:marTop w:val="0"/>
      <w:marBottom w:val="0"/>
      <w:divBdr>
        <w:top w:val="none" w:sz="0" w:space="0" w:color="auto"/>
        <w:left w:val="none" w:sz="0" w:space="0" w:color="auto"/>
        <w:bottom w:val="none" w:sz="0" w:space="0" w:color="auto"/>
        <w:right w:val="none" w:sz="0" w:space="0" w:color="auto"/>
      </w:divBdr>
    </w:div>
    <w:div w:id="509217738">
      <w:bodyDiv w:val="1"/>
      <w:marLeft w:val="0"/>
      <w:marRight w:val="0"/>
      <w:marTop w:val="0"/>
      <w:marBottom w:val="0"/>
      <w:divBdr>
        <w:top w:val="none" w:sz="0" w:space="0" w:color="auto"/>
        <w:left w:val="none" w:sz="0" w:space="0" w:color="auto"/>
        <w:bottom w:val="none" w:sz="0" w:space="0" w:color="auto"/>
        <w:right w:val="none" w:sz="0" w:space="0" w:color="auto"/>
      </w:divBdr>
    </w:div>
    <w:div w:id="520318799">
      <w:bodyDiv w:val="1"/>
      <w:marLeft w:val="0"/>
      <w:marRight w:val="0"/>
      <w:marTop w:val="0"/>
      <w:marBottom w:val="0"/>
      <w:divBdr>
        <w:top w:val="none" w:sz="0" w:space="0" w:color="auto"/>
        <w:left w:val="none" w:sz="0" w:space="0" w:color="auto"/>
        <w:bottom w:val="none" w:sz="0" w:space="0" w:color="auto"/>
        <w:right w:val="none" w:sz="0" w:space="0" w:color="auto"/>
      </w:divBdr>
    </w:div>
    <w:div w:id="578751441">
      <w:bodyDiv w:val="1"/>
      <w:marLeft w:val="0"/>
      <w:marRight w:val="0"/>
      <w:marTop w:val="0"/>
      <w:marBottom w:val="0"/>
      <w:divBdr>
        <w:top w:val="none" w:sz="0" w:space="0" w:color="auto"/>
        <w:left w:val="none" w:sz="0" w:space="0" w:color="auto"/>
        <w:bottom w:val="none" w:sz="0" w:space="0" w:color="auto"/>
        <w:right w:val="none" w:sz="0" w:space="0" w:color="auto"/>
      </w:divBdr>
    </w:div>
    <w:div w:id="627392893">
      <w:bodyDiv w:val="1"/>
      <w:marLeft w:val="0"/>
      <w:marRight w:val="0"/>
      <w:marTop w:val="0"/>
      <w:marBottom w:val="0"/>
      <w:divBdr>
        <w:top w:val="none" w:sz="0" w:space="0" w:color="auto"/>
        <w:left w:val="none" w:sz="0" w:space="0" w:color="auto"/>
        <w:bottom w:val="none" w:sz="0" w:space="0" w:color="auto"/>
        <w:right w:val="none" w:sz="0" w:space="0" w:color="auto"/>
      </w:divBdr>
    </w:div>
    <w:div w:id="784036699">
      <w:bodyDiv w:val="1"/>
      <w:marLeft w:val="0"/>
      <w:marRight w:val="0"/>
      <w:marTop w:val="0"/>
      <w:marBottom w:val="0"/>
      <w:divBdr>
        <w:top w:val="none" w:sz="0" w:space="0" w:color="auto"/>
        <w:left w:val="none" w:sz="0" w:space="0" w:color="auto"/>
        <w:bottom w:val="none" w:sz="0" w:space="0" w:color="auto"/>
        <w:right w:val="none" w:sz="0" w:space="0" w:color="auto"/>
      </w:divBdr>
    </w:div>
    <w:div w:id="800880128">
      <w:bodyDiv w:val="1"/>
      <w:marLeft w:val="0"/>
      <w:marRight w:val="0"/>
      <w:marTop w:val="0"/>
      <w:marBottom w:val="0"/>
      <w:divBdr>
        <w:top w:val="none" w:sz="0" w:space="0" w:color="auto"/>
        <w:left w:val="none" w:sz="0" w:space="0" w:color="auto"/>
        <w:bottom w:val="none" w:sz="0" w:space="0" w:color="auto"/>
        <w:right w:val="none" w:sz="0" w:space="0" w:color="auto"/>
      </w:divBdr>
    </w:div>
    <w:div w:id="819686277">
      <w:bodyDiv w:val="1"/>
      <w:marLeft w:val="0"/>
      <w:marRight w:val="0"/>
      <w:marTop w:val="0"/>
      <w:marBottom w:val="0"/>
      <w:divBdr>
        <w:top w:val="none" w:sz="0" w:space="0" w:color="auto"/>
        <w:left w:val="none" w:sz="0" w:space="0" w:color="auto"/>
        <w:bottom w:val="none" w:sz="0" w:space="0" w:color="auto"/>
        <w:right w:val="none" w:sz="0" w:space="0" w:color="auto"/>
      </w:divBdr>
    </w:div>
    <w:div w:id="863246169">
      <w:bodyDiv w:val="1"/>
      <w:marLeft w:val="0"/>
      <w:marRight w:val="0"/>
      <w:marTop w:val="0"/>
      <w:marBottom w:val="0"/>
      <w:divBdr>
        <w:top w:val="none" w:sz="0" w:space="0" w:color="auto"/>
        <w:left w:val="none" w:sz="0" w:space="0" w:color="auto"/>
        <w:bottom w:val="none" w:sz="0" w:space="0" w:color="auto"/>
        <w:right w:val="none" w:sz="0" w:space="0" w:color="auto"/>
      </w:divBdr>
    </w:div>
    <w:div w:id="897588092">
      <w:bodyDiv w:val="1"/>
      <w:marLeft w:val="0"/>
      <w:marRight w:val="0"/>
      <w:marTop w:val="0"/>
      <w:marBottom w:val="0"/>
      <w:divBdr>
        <w:top w:val="none" w:sz="0" w:space="0" w:color="auto"/>
        <w:left w:val="none" w:sz="0" w:space="0" w:color="auto"/>
        <w:bottom w:val="none" w:sz="0" w:space="0" w:color="auto"/>
        <w:right w:val="none" w:sz="0" w:space="0" w:color="auto"/>
      </w:divBdr>
    </w:div>
    <w:div w:id="906694414">
      <w:bodyDiv w:val="1"/>
      <w:marLeft w:val="0"/>
      <w:marRight w:val="0"/>
      <w:marTop w:val="0"/>
      <w:marBottom w:val="0"/>
      <w:divBdr>
        <w:top w:val="none" w:sz="0" w:space="0" w:color="auto"/>
        <w:left w:val="none" w:sz="0" w:space="0" w:color="auto"/>
        <w:bottom w:val="none" w:sz="0" w:space="0" w:color="auto"/>
        <w:right w:val="none" w:sz="0" w:space="0" w:color="auto"/>
      </w:divBdr>
    </w:div>
    <w:div w:id="909271482">
      <w:bodyDiv w:val="1"/>
      <w:marLeft w:val="0"/>
      <w:marRight w:val="0"/>
      <w:marTop w:val="0"/>
      <w:marBottom w:val="0"/>
      <w:divBdr>
        <w:top w:val="none" w:sz="0" w:space="0" w:color="auto"/>
        <w:left w:val="none" w:sz="0" w:space="0" w:color="auto"/>
        <w:bottom w:val="none" w:sz="0" w:space="0" w:color="auto"/>
        <w:right w:val="none" w:sz="0" w:space="0" w:color="auto"/>
      </w:divBdr>
    </w:div>
    <w:div w:id="942884211">
      <w:bodyDiv w:val="1"/>
      <w:marLeft w:val="0"/>
      <w:marRight w:val="0"/>
      <w:marTop w:val="0"/>
      <w:marBottom w:val="0"/>
      <w:divBdr>
        <w:top w:val="none" w:sz="0" w:space="0" w:color="auto"/>
        <w:left w:val="none" w:sz="0" w:space="0" w:color="auto"/>
        <w:bottom w:val="none" w:sz="0" w:space="0" w:color="auto"/>
        <w:right w:val="none" w:sz="0" w:space="0" w:color="auto"/>
      </w:divBdr>
    </w:div>
    <w:div w:id="952906303">
      <w:bodyDiv w:val="1"/>
      <w:marLeft w:val="0"/>
      <w:marRight w:val="0"/>
      <w:marTop w:val="0"/>
      <w:marBottom w:val="0"/>
      <w:divBdr>
        <w:top w:val="none" w:sz="0" w:space="0" w:color="auto"/>
        <w:left w:val="none" w:sz="0" w:space="0" w:color="auto"/>
        <w:bottom w:val="none" w:sz="0" w:space="0" w:color="auto"/>
        <w:right w:val="none" w:sz="0" w:space="0" w:color="auto"/>
      </w:divBdr>
    </w:div>
    <w:div w:id="1044863212">
      <w:bodyDiv w:val="1"/>
      <w:marLeft w:val="0"/>
      <w:marRight w:val="0"/>
      <w:marTop w:val="0"/>
      <w:marBottom w:val="0"/>
      <w:divBdr>
        <w:top w:val="none" w:sz="0" w:space="0" w:color="auto"/>
        <w:left w:val="none" w:sz="0" w:space="0" w:color="auto"/>
        <w:bottom w:val="none" w:sz="0" w:space="0" w:color="auto"/>
        <w:right w:val="none" w:sz="0" w:space="0" w:color="auto"/>
      </w:divBdr>
    </w:div>
    <w:div w:id="1132791549">
      <w:bodyDiv w:val="1"/>
      <w:marLeft w:val="0"/>
      <w:marRight w:val="0"/>
      <w:marTop w:val="0"/>
      <w:marBottom w:val="0"/>
      <w:divBdr>
        <w:top w:val="none" w:sz="0" w:space="0" w:color="auto"/>
        <w:left w:val="none" w:sz="0" w:space="0" w:color="auto"/>
        <w:bottom w:val="none" w:sz="0" w:space="0" w:color="auto"/>
        <w:right w:val="none" w:sz="0" w:space="0" w:color="auto"/>
      </w:divBdr>
    </w:div>
    <w:div w:id="1295603536">
      <w:bodyDiv w:val="1"/>
      <w:marLeft w:val="0"/>
      <w:marRight w:val="0"/>
      <w:marTop w:val="0"/>
      <w:marBottom w:val="0"/>
      <w:divBdr>
        <w:top w:val="none" w:sz="0" w:space="0" w:color="auto"/>
        <w:left w:val="none" w:sz="0" w:space="0" w:color="auto"/>
        <w:bottom w:val="none" w:sz="0" w:space="0" w:color="auto"/>
        <w:right w:val="none" w:sz="0" w:space="0" w:color="auto"/>
      </w:divBdr>
    </w:div>
    <w:div w:id="1369330575">
      <w:bodyDiv w:val="1"/>
      <w:marLeft w:val="0"/>
      <w:marRight w:val="0"/>
      <w:marTop w:val="0"/>
      <w:marBottom w:val="0"/>
      <w:divBdr>
        <w:top w:val="none" w:sz="0" w:space="0" w:color="auto"/>
        <w:left w:val="none" w:sz="0" w:space="0" w:color="auto"/>
        <w:bottom w:val="none" w:sz="0" w:space="0" w:color="auto"/>
        <w:right w:val="none" w:sz="0" w:space="0" w:color="auto"/>
      </w:divBdr>
    </w:div>
    <w:div w:id="1400900462">
      <w:bodyDiv w:val="1"/>
      <w:marLeft w:val="0"/>
      <w:marRight w:val="0"/>
      <w:marTop w:val="0"/>
      <w:marBottom w:val="0"/>
      <w:divBdr>
        <w:top w:val="none" w:sz="0" w:space="0" w:color="auto"/>
        <w:left w:val="none" w:sz="0" w:space="0" w:color="auto"/>
        <w:bottom w:val="none" w:sz="0" w:space="0" w:color="auto"/>
        <w:right w:val="none" w:sz="0" w:space="0" w:color="auto"/>
      </w:divBdr>
    </w:div>
    <w:div w:id="1443064837">
      <w:bodyDiv w:val="1"/>
      <w:marLeft w:val="0"/>
      <w:marRight w:val="0"/>
      <w:marTop w:val="0"/>
      <w:marBottom w:val="0"/>
      <w:divBdr>
        <w:top w:val="none" w:sz="0" w:space="0" w:color="auto"/>
        <w:left w:val="none" w:sz="0" w:space="0" w:color="auto"/>
        <w:bottom w:val="none" w:sz="0" w:space="0" w:color="auto"/>
        <w:right w:val="none" w:sz="0" w:space="0" w:color="auto"/>
      </w:divBdr>
    </w:div>
    <w:div w:id="1449467178">
      <w:bodyDiv w:val="1"/>
      <w:marLeft w:val="0"/>
      <w:marRight w:val="0"/>
      <w:marTop w:val="0"/>
      <w:marBottom w:val="0"/>
      <w:divBdr>
        <w:top w:val="none" w:sz="0" w:space="0" w:color="auto"/>
        <w:left w:val="none" w:sz="0" w:space="0" w:color="auto"/>
        <w:bottom w:val="none" w:sz="0" w:space="0" w:color="auto"/>
        <w:right w:val="none" w:sz="0" w:space="0" w:color="auto"/>
      </w:divBdr>
    </w:div>
    <w:div w:id="1496333588">
      <w:bodyDiv w:val="1"/>
      <w:marLeft w:val="0"/>
      <w:marRight w:val="0"/>
      <w:marTop w:val="0"/>
      <w:marBottom w:val="0"/>
      <w:divBdr>
        <w:top w:val="none" w:sz="0" w:space="0" w:color="auto"/>
        <w:left w:val="none" w:sz="0" w:space="0" w:color="auto"/>
        <w:bottom w:val="none" w:sz="0" w:space="0" w:color="auto"/>
        <w:right w:val="none" w:sz="0" w:space="0" w:color="auto"/>
      </w:divBdr>
    </w:div>
    <w:div w:id="1508330475">
      <w:bodyDiv w:val="1"/>
      <w:marLeft w:val="0"/>
      <w:marRight w:val="0"/>
      <w:marTop w:val="0"/>
      <w:marBottom w:val="0"/>
      <w:divBdr>
        <w:top w:val="none" w:sz="0" w:space="0" w:color="auto"/>
        <w:left w:val="none" w:sz="0" w:space="0" w:color="auto"/>
        <w:bottom w:val="none" w:sz="0" w:space="0" w:color="auto"/>
        <w:right w:val="none" w:sz="0" w:space="0" w:color="auto"/>
      </w:divBdr>
    </w:div>
    <w:div w:id="1603877676">
      <w:bodyDiv w:val="1"/>
      <w:marLeft w:val="0"/>
      <w:marRight w:val="0"/>
      <w:marTop w:val="0"/>
      <w:marBottom w:val="0"/>
      <w:divBdr>
        <w:top w:val="none" w:sz="0" w:space="0" w:color="auto"/>
        <w:left w:val="none" w:sz="0" w:space="0" w:color="auto"/>
        <w:bottom w:val="none" w:sz="0" w:space="0" w:color="auto"/>
        <w:right w:val="none" w:sz="0" w:space="0" w:color="auto"/>
      </w:divBdr>
    </w:div>
    <w:div w:id="1642922926">
      <w:bodyDiv w:val="1"/>
      <w:marLeft w:val="0"/>
      <w:marRight w:val="0"/>
      <w:marTop w:val="0"/>
      <w:marBottom w:val="0"/>
      <w:divBdr>
        <w:top w:val="none" w:sz="0" w:space="0" w:color="auto"/>
        <w:left w:val="none" w:sz="0" w:space="0" w:color="auto"/>
        <w:bottom w:val="none" w:sz="0" w:space="0" w:color="auto"/>
        <w:right w:val="none" w:sz="0" w:space="0" w:color="auto"/>
      </w:divBdr>
    </w:div>
    <w:div w:id="1647318892">
      <w:bodyDiv w:val="1"/>
      <w:marLeft w:val="0"/>
      <w:marRight w:val="0"/>
      <w:marTop w:val="0"/>
      <w:marBottom w:val="0"/>
      <w:divBdr>
        <w:top w:val="none" w:sz="0" w:space="0" w:color="auto"/>
        <w:left w:val="none" w:sz="0" w:space="0" w:color="auto"/>
        <w:bottom w:val="none" w:sz="0" w:space="0" w:color="auto"/>
        <w:right w:val="none" w:sz="0" w:space="0" w:color="auto"/>
      </w:divBdr>
    </w:div>
    <w:div w:id="1698266056">
      <w:bodyDiv w:val="1"/>
      <w:marLeft w:val="0"/>
      <w:marRight w:val="0"/>
      <w:marTop w:val="0"/>
      <w:marBottom w:val="0"/>
      <w:divBdr>
        <w:top w:val="none" w:sz="0" w:space="0" w:color="auto"/>
        <w:left w:val="none" w:sz="0" w:space="0" w:color="auto"/>
        <w:bottom w:val="none" w:sz="0" w:space="0" w:color="auto"/>
        <w:right w:val="none" w:sz="0" w:space="0" w:color="auto"/>
      </w:divBdr>
    </w:div>
    <w:div w:id="1699164942">
      <w:bodyDiv w:val="1"/>
      <w:marLeft w:val="0"/>
      <w:marRight w:val="0"/>
      <w:marTop w:val="0"/>
      <w:marBottom w:val="0"/>
      <w:divBdr>
        <w:top w:val="none" w:sz="0" w:space="0" w:color="auto"/>
        <w:left w:val="none" w:sz="0" w:space="0" w:color="auto"/>
        <w:bottom w:val="none" w:sz="0" w:space="0" w:color="auto"/>
        <w:right w:val="none" w:sz="0" w:space="0" w:color="auto"/>
      </w:divBdr>
    </w:div>
    <w:div w:id="1703550929">
      <w:bodyDiv w:val="1"/>
      <w:marLeft w:val="0"/>
      <w:marRight w:val="0"/>
      <w:marTop w:val="0"/>
      <w:marBottom w:val="0"/>
      <w:divBdr>
        <w:top w:val="none" w:sz="0" w:space="0" w:color="auto"/>
        <w:left w:val="none" w:sz="0" w:space="0" w:color="auto"/>
        <w:bottom w:val="none" w:sz="0" w:space="0" w:color="auto"/>
        <w:right w:val="none" w:sz="0" w:space="0" w:color="auto"/>
      </w:divBdr>
    </w:div>
    <w:div w:id="1719620626">
      <w:bodyDiv w:val="1"/>
      <w:marLeft w:val="0"/>
      <w:marRight w:val="0"/>
      <w:marTop w:val="0"/>
      <w:marBottom w:val="0"/>
      <w:divBdr>
        <w:top w:val="none" w:sz="0" w:space="0" w:color="auto"/>
        <w:left w:val="none" w:sz="0" w:space="0" w:color="auto"/>
        <w:bottom w:val="none" w:sz="0" w:space="0" w:color="auto"/>
        <w:right w:val="none" w:sz="0" w:space="0" w:color="auto"/>
      </w:divBdr>
    </w:div>
    <w:div w:id="1756248114">
      <w:bodyDiv w:val="1"/>
      <w:marLeft w:val="0"/>
      <w:marRight w:val="0"/>
      <w:marTop w:val="0"/>
      <w:marBottom w:val="0"/>
      <w:divBdr>
        <w:top w:val="none" w:sz="0" w:space="0" w:color="auto"/>
        <w:left w:val="none" w:sz="0" w:space="0" w:color="auto"/>
        <w:bottom w:val="none" w:sz="0" w:space="0" w:color="auto"/>
        <w:right w:val="none" w:sz="0" w:space="0" w:color="auto"/>
      </w:divBdr>
    </w:div>
    <w:div w:id="1807812902">
      <w:bodyDiv w:val="1"/>
      <w:marLeft w:val="0"/>
      <w:marRight w:val="0"/>
      <w:marTop w:val="0"/>
      <w:marBottom w:val="0"/>
      <w:divBdr>
        <w:top w:val="none" w:sz="0" w:space="0" w:color="auto"/>
        <w:left w:val="none" w:sz="0" w:space="0" w:color="auto"/>
        <w:bottom w:val="none" w:sz="0" w:space="0" w:color="auto"/>
        <w:right w:val="none" w:sz="0" w:space="0" w:color="auto"/>
      </w:divBdr>
    </w:div>
    <w:div w:id="1842550159">
      <w:bodyDiv w:val="1"/>
      <w:marLeft w:val="0"/>
      <w:marRight w:val="0"/>
      <w:marTop w:val="0"/>
      <w:marBottom w:val="0"/>
      <w:divBdr>
        <w:top w:val="none" w:sz="0" w:space="0" w:color="auto"/>
        <w:left w:val="none" w:sz="0" w:space="0" w:color="auto"/>
        <w:bottom w:val="none" w:sz="0" w:space="0" w:color="auto"/>
        <w:right w:val="none" w:sz="0" w:space="0" w:color="auto"/>
      </w:divBdr>
    </w:div>
    <w:div w:id="1852406563">
      <w:bodyDiv w:val="1"/>
      <w:marLeft w:val="0"/>
      <w:marRight w:val="0"/>
      <w:marTop w:val="0"/>
      <w:marBottom w:val="0"/>
      <w:divBdr>
        <w:top w:val="none" w:sz="0" w:space="0" w:color="auto"/>
        <w:left w:val="none" w:sz="0" w:space="0" w:color="auto"/>
        <w:bottom w:val="none" w:sz="0" w:space="0" w:color="auto"/>
        <w:right w:val="none" w:sz="0" w:space="0" w:color="auto"/>
      </w:divBdr>
    </w:div>
    <w:div w:id="1899896763">
      <w:bodyDiv w:val="1"/>
      <w:marLeft w:val="0"/>
      <w:marRight w:val="0"/>
      <w:marTop w:val="0"/>
      <w:marBottom w:val="0"/>
      <w:divBdr>
        <w:top w:val="none" w:sz="0" w:space="0" w:color="auto"/>
        <w:left w:val="none" w:sz="0" w:space="0" w:color="auto"/>
        <w:bottom w:val="none" w:sz="0" w:space="0" w:color="auto"/>
        <w:right w:val="none" w:sz="0" w:space="0" w:color="auto"/>
      </w:divBdr>
    </w:div>
    <w:div w:id="1938252173">
      <w:bodyDiv w:val="1"/>
      <w:marLeft w:val="0"/>
      <w:marRight w:val="0"/>
      <w:marTop w:val="0"/>
      <w:marBottom w:val="0"/>
      <w:divBdr>
        <w:top w:val="none" w:sz="0" w:space="0" w:color="auto"/>
        <w:left w:val="none" w:sz="0" w:space="0" w:color="auto"/>
        <w:bottom w:val="none" w:sz="0" w:space="0" w:color="auto"/>
        <w:right w:val="none" w:sz="0" w:space="0" w:color="auto"/>
      </w:divBdr>
    </w:div>
    <w:div w:id="2012640501">
      <w:bodyDiv w:val="1"/>
      <w:marLeft w:val="0"/>
      <w:marRight w:val="0"/>
      <w:marTop w:val="0"/>
      <w:marBottom w:val="0"/>
      <w:divBdr>
        <w:top w:val="none" w:sz="0" w:space="0" w:color="auto"/>
        <w:left w:val="none" w:sz="0" w:space="0" w:color="auto"/>
        <w:bottom w:val="none" w:sz="0" w:space="0" w:color="auto"/>
        <w:right w:val="none" w:sz="0" w:space="0" w:color="auto"/>
      </w:divBdr>
    </w:div>
    <w:div w:id="2065173902">
      <w:bodyDiv w:val="1"/>
      <w:marLeft w:val="0"/>
      <w:marRight w:val="0"/>
      <w:marTop w:val="0"/>
      <w:marBottom w:val="0"/>
      <w:divBdr>
        <w:top w:val="none" w:sz="0" w:space="0" w:color="auto"/>
        <w:left w:val="none" w:sz="0" w:space="0" w:color="auto"/>
        <w:bottom w:val="none" w:sz="0" w:space="0" w:color="auto"/>
        <w:right w:val="none" w:sz="0" w:space="0" w:color="auto"/>
      </w:divBdr>
    </w:div>
    <w:div w:id="21371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ssn.org/sites/ama-assn.org/files/corp/media-browser/public/arc-public/prior-authorization-consensus-statemen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ure.maine.gov/legis/bills/getPDF.asp?paper=SP0548&amp;item=4&amp;snum=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stdemocracy.com/bill-search/me/131/bills/MEB00012186/" TargetMode="External"/><Relationship Id="rId4" Type="http://schemas.openxmlformats.org/officeDocument/2006/relationships/settings" Target="settings.xml"/><Relationship Id="rId9" Type="http://schemas.openxmlformats.org/officeDocument/2006/relationships/hyperlink" Target="https://leginfo.legislature.ca.gov/faces/billTextClient.xhtml?bill_id=202320240AB93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legislature.maine.gov/legis/bills/getPDF.asp?paper=SP0548&amp;item=4&amp;snum=131" TargetMode="External"/><Relationship Id="rId2" Type="http://schemas.openxmlformats.org/officeDocument/2006/relationships/hyperlink" Target="https://fastdemocracy.com/bill-search/me/131/bills/MEB00012186/" TargetMode="External"/><Relationship Id="rId1" Type="http://schemas.openxmlformats.org/officeDocument/2006/relationships/hyperlink" Target="https://leginfo.legislature.ca.gov/faces/billTextClient.xhtml?bill_id=202320240AB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D3A6-772F-F641-B85C-A7A7B558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2023-10-30T13:24:00Z</dcterms:created>
  <dcterms:modified xsi:type="dcterms:W3CDTF">2023-10-30T13:25:00Z</dcterms:modified>
</cp:coreProperties>
</file>