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C153" w14:textId="77777777" w:rsidR="005339A4" w:rsidRDefault="005339A4" w:rsidP="005339A4">
      <w:pPr>
        <w:pStyle w:val="Normal1"/>
        <w:jc w:val="center"/>
        <w:rPr>
          <w:sz w:val="36"/>
          <w:szCs w:val="36"/>
        </w:rPr>
      </w:pPr>
      <w:r>
        <w:rPr>
          <w:sz w:val="36"/>
          <w:szCs w:val="36"/>
        </w:rPr>
        <w:t>Utilization Management, Internal Appeals and External Review</w:t>
      </w:r>
    </w:p>
    <w:p w14:paraId="00000002" w14:textId="5E3B3E20" w:rsidR="008B54B7" w:rsidRDefault="00DA7D4E" w:rsidP="005339A4">
      <w:pPr>
        <w:pStyle w:val="Normal1"/>
        <w:jc w:val="center"/>
        <w:rPr>
          <w:sz w:val="36"/>
          <w:szCs w:val="36"/>
        </w:rPr>
      </w:pPr>
      <w:r>
        <w:rPr>
          <w:sz w:val="36"/>
          <w:szCs w:val="36"/>
        </w:rPr>
        <w:t>Talking Points</w:t>
      </w:r>
      <w:r w:rsidR="005339A4">
        <w:rPr>
          <w:sz w:val="36"/>
          <w:szCs w:val="36"/>
        </w:rPr>
        <w:t xml:space="preserve"> </w:t>
      </w:r>
      <w:r w:rsidR="00572768">
        <w:rPr>
          <w:sz w:val="36"/>
          <w:szCs w:val="36"/>
        </w:rPr>
        <w:t>f</w:t>
      </w:r>
      <w:r>
        <w:rPr>
          <w:sz w:val="36"/>
          <w:szCs w:val="36"/>
        </w:rPr>
        <w:t>or PPS Members</w:t>
      </w:r>
    </w:p>
    <w:p w14:paraId="00000003" w14:textId="77777777" w:rsidR="008B54B7" w:rsidRDefault="008B54B7">
      <w:pPr>
        <w:pStyle w:val="Normal1"/>
      </w:pPr>
    </w:p>
    <w:p w14:paraId="00000004" w14:textId="58FA7486" w:rsidR="008B54B7" w:rsidRPr="005339A4" w:rsidRDefault="005339A4" w:rsidP="000161A3">
      <w:pPr>
        <w:pStyle w:val="Normal1"/>
        <w:numPr>
          <w:ilvl w:val="0"/>
          <w:numId w:val="1"/>
        </w:numPr>
        <w:pBdr>
          <w:top w:val="nil"/>
          <w:left w:val="nil"/>
          <w:bottom w:val="nil"/>
          <w:right w:val="nil"/>
          <w:between w:val="nil"/>
        </w:pBdr>
      </w:pPr>
      <w:r>
        <w:rPr>
          <w:color w:val="000000"/>
        </w:rPr>
        <w:t>Utilization Management is becoming the “go to” tool for insurers to limit medically necessary services, but denials prior to reaching UM are commonplace.</w:t>
      </w:r>
    </w:p>
    <w:p w14:paraId="4528EF80" w14:textId="291D544D" w:rsidR="005339A4" w:rsidRDefault="005339A4" w:rsidP="005339A4">
      <w:pPr>
        <w:pStyle w:val="ListParagraph"/>
        <w:numPr>
          <w:ilvl w:val="1"/>
          <w:numId w:val="1"/>
        </w:numPr>
        <w:rPr>
          <w:rFonts w:eastAsia="Times New Roman"/>
        </w:rPr>
      </w:pPr>
      <w:r w:rsidRPr="005339A4">
        <w:rPr>
          <w:rFonts w:eastAsia="Times New Roman"/>
        </w:rPr>
        <w:t>The Kaiser Family Foundation published data from 20</w:t>
      </w:r>
      <w:r w:rsidR="00572768">
        <w:rPr>
          <w:rFonts w:eastAsia="Times New Roman"/>
        </w:rPr>
        <w:t>21</w:t>
      </w:r>
      <w:r w:rsidRPr="005339A4">
        <w:rPr>
          <w:rFonts w:eastAsia="Times New Roman"/>
        </w:rPr>
        <w:t xml:space="preserve"> for plans that reported rates of denials for </w:t>
      </w:r>
      <w:r>
        <w:rPr>
          <w:rFonts w:eastAsia="Times New Roman"/>
        </w:rPr>
        <w:t xml:space="preserve">insurance plans </w:t>
      </w:r>
      <w:r w:rsidRPr="005339A4">
        <w:rPr>
          <w:rFonts w:eastAsia="Times New Roman"/>
        </w:rPr>
        <w:t>listed within the Exchange/Marketplace</w:t>
      </w:r>
      <w:r>
        <w:rPr>
          <w:rFonts w:eastAsia="Times New Roman"/>
        </w:rPr>
        <w:t>, with some notable bad actors</w:t>
      </w:r>
      <w:r w:rsidRPr="005339A4">
        <w:rPr>
          <w:rFonts w:eastAsia="Times New Roman"/>
        </w:rPr>
        <w:t>. In particular, KFF finds:</w:t>
      </w:r>
    </w:p>
    <w:p w14:paraId="318FEF9A" w14:textId="31D50E2E" w:rsidR="005339A4" w:rsidRDefault="005339A4" w:rsidP="005339A4">
      <w:pPr>
        <w:pStyle w:val="ListParagraph"/>
        <w:numPr>
          <w:ilvl w:val="1"/>
          <w:numId w:val="1"/>
        </w:numPr>
        <w:rPr>
          <w:rFonts w:eastAsia="Times New Roman"/>
        </w:rPr>
      </w:pPr>
      <w:r w:rsidRPr="005339A4">
        <w:rPr>
          <w:rFonts w:eastAsia="Times New Roman"/>
        </w:rPr>
        <w:t xml:space="preserve">Denial rates by issuers varied widely, ranging from </w:t>
      </w:r>
      <w:r w:rsidR="00572768" w:rsidRPr="00572768">
        <w:rPr>
          <w:rFonts w:eastAsia="Times New Roman"/>
        </w:rPr>
        <w:t>ranging from 2% to 49%</w:t>
      </w:r>
      <w:r w:rsidR="00572768">
        <w:rPr>
          <w:rFonts w:eastAsia="Times New Roman"/>
        </w:rPr>
        <w:t xml:space="preserve"> (from </w:t>
      </w:r>
      <w:r w:rsidRPr="005339A4">
        <w:rPr>
          <w:rFonts w:eastAsia="Times New Roman"/>
        </w:rPr>
        <w:t xml:space="preserve">1% to 57% </w:t>
      </w:r>
      <w:r w:rsidR="00572768">
        <w:rPr>
          <w:rFonts w:eastAsia="Times New Roman"/>
        </w:rPr>
        <w:t xml:space="preserve">in 2019) </w:t>
      </w:r>
      <w:r w:rsidRPr="005339A4">
        <w:rPr>
          <w:rFonts w:eastAsia="Times New Roman"/>
        </w:rPr>
        <w:t xml:space="preserve">of in-network claims. </w:t>
      </w:r>
      <w:r w:rsidR="00572768" w:rsidRPr="00572768">
        <w:rPr>
          <w:rFonts w:eastAsia="Times New Roman"/>
        </w:rPr>
        <w:t>Of the 230 major medical issuers in HealthCare.gov states that reported for the 2021 plan year, 162 reported receiving at least 1,000 in-network claims and show data on claims received and denied. Together these issuers reported 291.6 million in-network claims received, of which 48.3 million were denied, for an average in-network claims denial rate of 16.6%</w:t>
      </w:r>
      <w:r w:rsidRPr="005339A4">
        <w:rPr>
          <w:rFonts w:eastAsia="Times New Roman"/>
        </w:rPr>
        <w:t xml:space="preserve">. </w:t>
      </w:r>
      <w:r w:rsidR="00572768" w:rsidRPr="00572768">
        <w:rPr>
          <w:rFonts w:eastAsia="Times New Roman"/>
        </w:rPr>
        <w:t>In 2021, 41 of the 162 reporting issuers had a denial rate of less than 10%, 65 issuers denied between 10% and 19% of in-network claims, 39 issuers denied 20-29%, and 17 issuers denied 30% or more of in-network claims. Issuers that report denying one-third or more of all in-network claims in 2021 included Meridian Health Plan of Michigan, Absolute Total Care in South Carolina, Celtic Insurance in 7 states (FL, IL, IN, MO, NH, TN, TX), Ambetter Insurance in 3 states (GA, MS, NC), Optimum Choice in Virginia, Buckeye Community Health Plan in Ohio, Health Net of Arizona, and UnitedHealthcare of Arizona</w:t>
      </w:r>
      <w:r w:rsidRPr="00620A48">
        <w:rPr>
          <w:rFonts w:eastAsia="Times New Roman"/>
        </w:rPr>
        <w:t>.</w:t>
      </w:r>
      <w:r w:rsidR="00620A48">
        <w:rPr>
          <w:rFonts w:eastAsia="Times New Roman"/>
        </w:rPr>
        <w:t xml:space="preserve"> </w:t>
      </w:r>
      <w:hyperlink r:id="rId8" w:history="1">
        <w:r w:rsidR="00620A48" w:rsidRPr="00A06DBC">
          <w:rPr>
            <w:rStyle w:val="Hyperlink"/>
            <w:rFonts w:eastAsia="Times New Roman"/>
          </w:rPr>
          <w:t>https://www.kff.org/private-insurance/issue-brief/claims-denials-and-appeals-in-aca-marketplace-pl</w:t>
        </w:r>
        <w:r w:rsidR="00620A48" w:rsidRPr="00A06DBC">
          <w:rPr>
            <w:rStyle w:val="Hyperlink"/>
            <w:rFonts w:eastAsia="Times New Roman"/>
          </w:rPr>
          <w:t>a</w:t>
        </w:r>
        <w:r w:rsidR="00620A48" w:rsidRPr="00A06DBC">
          <w:rPr>
            <w:rStyle w:val="Hyperlink"/>
            <w:rFonts w:eastAsia="Times New Roman"/>
          </w:rPr>
          <w:t>ns/</w:t>
        </w:r>
      </w:hyperlink>
      <w:r w:rsidR="00620A48">
        <w:rPr>
          <w:rFonts w:eastAsia="Times New Roman"/>
        </w:rPr>
        <w:t xml:space="preserve"> </w:t>
      </w:r>
    </w:p>
    <w:p w14:paraId="26425447" w14:textId="2714A30B" w:rsidR="005339A4" w:rsidRPr="005339A4" w:rsidRDefault="005339A4" w:rsidP="005339A4">
      <w:pPr>
        <w:pStyle w:val="ListParagraph"/>
        <w:numPr>
          <w:ilvl w:val="1"/>
          <w:numId w:val="1"/>
        </w:numPr>
        <w:rPr>
          <w:rFonts w:eastAsia="Times New Roman"/>
        </w:rPr>
      </w:pPr>
      <w:r>
        <w:rPr>
          <w:rFonts w:eastAsia="Times New Roman"/>
        </w:rPr>
        <w:t xml:space="preserve">As noted, these denial rates occur </w:t>
      </w:r>
      <w:r w:rsidRPr="00572768">
        <w:rPr>
          <w:rFonts w:eastAsia="Times New Roman"/>
          <w:i/>
        </w:rPr>
        <w:t>prior to reaching UM</w:t>
      </w:r>
      <w:r>
        <w:rPr>
          <w:rFonts w:eastAsia="Times New Roman"/>
        </w:rPr>
        <w:t>. Access to medically necessary care is being severely restricted</w:t>
      </w:r>
      <w:r w:rsidR="00620A48">
        <w:rPr>
          <w:rFonts w:eastAsia="Times New Roman"/>
        </w:rPr>
        <w:t xml:space="preserve"> by high denial rates and UM proliferation.</w:t>
      </w:r>
    </w:p>
    <w:p w14:paraId="6FE79E65" w14:textId="3CA1C7CE" w:rsidR="00620A48" w:rsidRDefault="00620A48" w:rsidP="00620A48">
      <w:pPr>
        <w:pStyle w:val="Normal1"/>
        <w:numPr>
          <w:ilvl w:val="0"/>
          <w:numId w:val="1"/>
        </w:numPr>
        <w:pBdr>
          <w:top w:val="nil"/>
          <w:left w:val="nil"/>
          <w:bottom w:val="nil"/>
          <w:right w:val="nil"/>
          <w:between w:val="nil"/>
        </w:pBdr>
      </w:pPr>
      <w:r>
        <w:t>Private practice PTs have reported significant issues with utilization management and other claims denials. In a survey fielded January 26, 2021, PPS physical therapists reported:</w:t>
      </w:r>
    </w:p>
    <w:p w14:paraId="06BA35D1" w14:textId="15FF9A0B" w:rsidR="00620A48" w:rsidRPr="00620A48" w:rsidRDefault="00620A48" w:rsidP="00620A48">
      <w:pPr>
        <w:pStyle w:val="ListParagraph"/>
        <w:numPr>
          <w:ilvl w:val="1"/>
          <w:numId w:val="1"/>
        </w:numPr>
        <w:contextualSpacing w:val="0"/>
        <w:rPr>
          <w:rFonts w:asciiTheme="minorHAnsi" w:eastAsia="Times New Roman" w:hAnsiTheme="minorHAnsi" w:cs="Times New Roman"/>
        </w:rPr>
      </w:pPr>
      <w:r w:rsidRPr="00620A48">
        <w:rPr>
          <w:rFonts w:asciiTheme="minorHAnsi" w:eastAsia="Times New Roman" w:hAnsiTheme="minorHAnsi" w:cs="Times New Roman"/>
        </w:rPr>
        <w:t xml:space="preserve">Children with developmental delays, cerebral palsy or down syndrome having </w:t>
      </w:r>
      <w:r w:rsidRPr="00620A48">
        <w:rPr>
          <w:rFonts w:asciiTheme="minorHAnsi" w:eastAsia="Times New Roman" w:hAnsiTheme="minorHAnsi" w:cs="Times New Roman"/>
          <w:b/>
        </w:rPr>
        <w:t xml:space="preserve">treatment stopped commonly for two weeks at a time </w:t>
      </w:r>
      <w:r w:rsidRPr="00620A48">
        <w:rPr>
          <w:rFonts w:asciiTheme="minorHAnsi" w:eastAsia="Times New Roman" w:hAnsiTheme="minorHAnsi" w:cs="Times New Roman"/>
        </w:rPr>
        <w:t>because they use the 4 visits in less than two weeks and another plan of care must be approved before treatment can start again.</w:t>
      </w:r>
    </w:p>
    <w:p w14:paraId="0052B738" w14:textId="77777777" w:rsidR="00620A48" w:rsidRPr="00620A48" w:rsidRDefault="00620A48" w:rsidP="00620A48">
      <w:pPr>
        <w:pStyle w:val="ListParagraph"/>
        <w:numPr>
          <w:ilvl w:val="1"/>
          <w:numId w:val="1"/>
        </w:numPr>
        <w:contextualSpacing w:val="0"/>
        <w:rPr>
          <w:rFonts w:asciiTheme="minorHAnsi" w:eastAsia="Times New Roman" w:hAnsiTheme="minorHAnsi" w:cs="Times New Roman"/>
        </w:rPr>
      </w:pPr>
      <w:r w:rsidRPr="00620A48">
        <w:rPr>
          <w:rFonts w:asciiTheme="minorHAnsi" w:eastAsia="Times New Roman" w:hAnsiTheme="minorHAnsi" w:cs="Times New Roman"/>
        </w:rPr>
        <w:t xml:space="preserve">They are not giving many visits, it’s very frustrating when a </w:t>
      </w:r>
      <w:r w:rsidRPr="00620A48">
        <w:rPr>
          <w:rFonts w:asciiTheme="minorHAnsi" w:eastAsia="Times New Roman" w:hAnsiTheme="minorHAnsi" w:cs="Times New Roman"/>
          <w:b/>
        </w:rPr>
        <w:t>post op patient comes in and we only get 5 visits to start out with and then maybe a few more, and then they request clinical information after the second time we go for PA</w:t>
      </w:r>
      <w:r w:rsidRPr="00620A48">
        <w:rPr>
          <w:rFonts w:asciiTheme="minorHAnsi" w:eastAsia="Times New Roman" w:hAnsiTheme="minorHAnsi" w:cs="Times New Roman"/>
        </w:rPr>
        <w:t>. This interrupts the patient care because they don’t want to be seen without approval</w:t>
      </w:r>
    </w:p>
    <w:p w14:paraId="0007A489" w14:textId="6B4436E1" w:rsidR="00620A48" w:rsidRPr="00620A48" w:rsidRDefault="00620A48" w:rsidP="00620A48">
      <w:pPr>
        <w:pStyle w:val="ListParagraph"/>
        <w:numPr>
          <w:ilvl w:val="1"/>
          <w:numId w:val="1"/>
        </w:numPr>
        <w:contextualSpacing w:val="0"/>
        <w:rPr>
          <w:rFonts w:asciiTheme="minorHAnsi" w:eastAsia="Times New Roman" w:hAnsiTheme="minorHAnsi" w:cs="Times New Roman"/>
        </w:rPr>
      </w:pPr>
      <w:r w:rsidRPr="00620A48">
        <w:rPr>
          <w:rFonts w:asciiTheme="minorHAnsi" w:eastAsia="Times New Roman" w:hAnsiTheme="minorHAnsi" w:cs="Times New Roman"/>
          <w:b/>
        </w:rPr>
        <w:t>Phone wait times increasing by ~50% since the change was implemented.</w:t>
      </w:r>
    </w:p>
    <w:p w14:paraId="451C016A" w14:textId="297083FB" w:rsidR="00620A48" w:rsidRPr="00620A48" w:rsidRDefault="00620A48" w:rsidP="00620A48">
      <w:pPr>
        <w:pStyle w:val="ListParagraph"/>
        <w:numPr>
          <w:ilvl w:val="1"/>
          <w:numId w:val="1"/>
        </w:numPr>
        <w:contextualSpacing w:val="0"/>
        <w:rPr>
          <w:rFonts w:asciiTheme="minorHAnsi" w:eastAsia="Times New Roman" w:hAnsiTheme="minorHAnsi" w:cs="Times New Roman"/>
          <w:b/>
        </w:rPr>
      </w:pPr>
      <w:r w:rsidRPr="00620A48">
        <w:rPr>
          <w:rFonts w:asciiTheme="minorHAnsi" w:eastAsia="Times New Roman" w:hAnsiTheme="minorHAnsi" w:cs="Times New Roman"/>
          <w:b/>
        </w:rPr>
        <w:lastRenderedPageBreak/>
        <w:t>Limiting units as well as visits even though the insurance company itself has no cap on either.</w:t>
      </w:r>
    </w:p>
    <w:p w14:paraId="148F1F61" w14:textId="70BFA93A" w:rsidR="00620A48" w:rsidRPr="00620A48" w:rsidRDefault="00620A48" w:rsidP="00620A48">
      <w:pPr>
        <w:pStyle w:val="ListParagraph"/>
        <w:numPr>
          <w:ilvl w:val="1"/>
          <w:numId w:val="1"/>
        </w:numPr>
        <w:contextualSpacing w:val="0"/>
        <w:rPr>
          <w:rFonts w:asciiTheme="minorHAnsi" w:eastAsia="Times New Roman" w:hAnsiTheme="minorHAnsi" w:cs="Times New Roman"/>
        </w:rPr>
      </w:pPr>
      <w:r w:rsidRPr="00620A48">
        <w:rPr>
          <w:rFonts w:asciiTheme="minorHAnsi" w:eastAsia="Times New Roman" w:hAnsiTheme="minorHAnsi" w:cs="Times New Roman"/>
          <w:b/>
        </w:rPr>
        <w:t>Randomly denying claims for no [UM company] authorization when [UM company] has no jurisdiction over the patient’s plan.</w:t>
      </w:r>
      <w:r w:rsidRPr="00620A48">
        <w:rPr>
          <w:rFonts w:asciiTheme="minorHAnsi" w:eastAsia="Times New Roman" w:hAnsiTheme="minorHAnsi" w:cs="Times New Roman"/>
        </w:rPr>
        <w:t xml:space="preserve"> When we receive the denials, we check [the] website then call [payer] customer service to send the claims back for reprocessing. [Payer] reps then give a series of other excuses as to why the [UM] authorization is required, or how the patient already used their physical therapy benefits early this year, etc.</w:t>
      </w:r>
    </w:p>
    <w:p w14:paraId="5757A7BA" w14:textId="100BA613" w:rsidR="00620A48" w:rsidRPr="00620A48" w:rsidRDefault="00620A48" w:rsidP="00620A48">
      <w:pPr>
        <w:pStyle w:val="ListParagraph"/>
        <w:numPr>
          <w:ilvl w:val="1"/>
          <w:numId w:val="1"/>
        </w:numPr>
        <w:contextualSpacing w:val="0"/>
        <w:rPr>
          <w:rFonts w:asciiTheme="minorHAnsi" w:eastAsia="Times New Roman" w:hAnsiTheme="minorHAnsi" w:cs="Times New Roman"/>
          <w:b/>
        </w:rPr>
      </w:pPr>
      <w:r w:rsidRPr="00620A48">
        <w:rPr>
          <w:rFonts w:asciiTheme="minorHAnsi" w:eastAsia="Times New Roman" w:hAnsiTheme="minorHAnsi" w:cs="Times New Roman"/>
          <w:b/>
        </w:rPr>
        <w:t>Phone wait times to confirm benefits of more than 5 hours.</w:t>
      </w:r>
    </w:p>
    <w:p w14:paraId="0000000B" w14:textId="67D8E885" w:rsidR="008B54B7" w:rsidRPr="005339A4" w:rsidRDefault="00DA7D4E" w:rsidP="005339A4">
      <w:pPr>
        <w:pStyle w:val="Normal1"/>
        <w:numPr>
          <w:ilvl w:val="0"/>
          <w:numId w:val="1"/>
        </w:numPr>
        <w:pBdr>
          <w:top w:val="nil"/>
          <w:left w:val="nil"/>
          <w:bottom w:val="nil"/>
          <w:right w:val="nil"/>
          <w:between w:val="nil"/>
        </w:pBdr>
      </w:pPr>
      <w:r w:rsidRPr="005339A4">
        <w:rPr>
          <w:color w:val="000000"/>
        </w:rPr>
        <w:t xml:space="preserve">Private practice PTs </w:t>
      </w:r>
      <w:r w:rsidR="005339A4">
        <w:rPr>
          <w:color w:val="000000"/>
        </w:rPr>
        <w:t xml:space="preserve">can do something about utilization management and </w:t>
      </w:r>
      <w:r w:rsidR="00620A48">
        <w:rPr>
          <w:color w:val="000000"/>
        </w:rPr>
        <w:t>claims denials</w:t>
      </w:r>
      <w:r w:rsidR="005339A4">
        <w:rPr>
          <w:color w:val="000000"/>
        </w:rPr>
        <w:t xml:space="preserve">, and two strategies that may be helpful are contained in your patients’ right to internal appeals and external reviews. </w:t>
      </w:r>
    </w:p>
    <w:p w14:paraId="7E9A664F" w14:textId="1675B761" w:rsidR="005339A4" w:rsidRDefault="005339A4" w:rsidP="005339A4">
      <w:pPr>
        <w:pStyle w:val="Normal1"/>
        <w:numPr>
          <w:ilvl w:val="0"/>
          <w:numId w:val="1"/>
        </w:numPr>
        <w:pBdr>
          <w:top w:val="nil"/>
          <w:left w:val="nil"/>
          <w:bottom w:val="nil"/>
          <w:right w:val="nil"/>
          <w:between w:val="nil"/>
        </w:pBdr>
      </w:pPr>
      <w:r>
        <w:t>What is an internal appeal?</w:t>
      </w:r>
    </w:p>
    <w:p w14:paraId="741F524B" w14:textId="28BCF7F9" w:rsidR="005339A4" w:rsidRPr="005339A4" w:rsidRDefault="005339A4" w:rsidP="005339A4">
      <w:pPr>
        <w:pStyle w:val="ListParagraph"/>
        <w:numPr>
          <w:ilvl w:val="1"/>
          <w:numId w:val="1"/>
        </w:numPr>
        <w:rPr>
          <w:rFonts w:asciiTheme="minorHAnsi" w:eastAsia="Times New Roman" w:hAnsiTheme="minorHAnsi" w:cs="Times New Roman"/>
        </w:rPr>
      </w:pPr>
      <w:r w:rsidRPr="005339A4">
        <w:rPr>
          <w:rFonts w:asciiTheme="minorHAnsi" w:hAnsiTheme="minorHAnsi"/>
        </w:rPr>
        <w:t>“</w:t>
      </w:r>
      <w:hyperlink r:id="rId9" w:history="1">
        <w:r w:rsidRPr="005339A4">
          <w:rPr>
            <w:rFonts w:asciiTheme="minorHAnsi" w:eastAsia="Times New Roman" w:hAnsiTheme="minorHAnsi" w:cs="Times New Roman"/>
            <w:color w:val="0000FF"/>
            <w:u w:val="single"/>
          </w:rPr>
          <w:t>Internal appeal:</w:t>
        </w:r>
      </w:hyperlink>
      <w:r w:rsidRPr="005339A4">
        <w:rPr>
          <w:rFonts w:asciiTheme="minorHAnsi" w:eastAsia="Times New Roman" w:hAnsiTheme="minorHAnsi" w:cs="Times New Roman"/>
        </w:rPr>
        <w:t xml:space="preserve"> If your claim is denied or your health insurance coverage canceled, you have the right to an internal appeal. You may ask your insurance company to conduct a full and fair review of its decision. If the case is urgent, your insurance company must speed up this process.”</w:t>
      </w:r>
    </w:p>
    <w:p w14:paraId="3D08C354" w14:textId="3867EE47" w:rsidR="005339A4" w:rsidRDefault="00406F10" w:rsidP="005339A4">
      <w:pPr>
        <w:pStyle w:val="Normal1"/>
        <w:numPr>
          <w:ilvl w:val="1"/>
          <w:numId w:val="1"/>
        </w:numPr>
        <w:pBdr>
          <w:top w:val="nil"/>
          <w:left w:val="nil"/>
          <w:bottom w:val="nil"/>
          <w:right w:val="nil"/>
          <w:between w:val="nil"/>
        </w:pBdr>
      </w:pPr>
      <w:hyperlink r:id="rId10" w:history="1">
        <w:r w:rsidR="005339A4" w:rsidRPr="00A06DBC">
          <w:rPr>
            <w:rStyle w:val="Hyperlink"/>
          </w:rPr>
          <w:t>https://www.healthcare.gov/appeal-insurance-company-decision/</w:t>
        </w:r>
      </w:hyperlink>
    </w:p>
    <w:p w14:paraId="34E7B60F" w14:textId="26D06ED6" w:rsidR="005339A4" w:rsidRDefault="005339A4" w:rsidP="005339A4">
      <w:pPr>
        <w:pStyle w:val="Normal1"/>
        <w:numPr>
          <w:ilvl w:val="0"/>
          <w:numId w:val="1"/>
        </w:numPr>
        <w:pBdr>
          <w:top w:val="nil"/>
          <w:left w:val="nil"/>
          <w:bottom w:val="nil"/>
          <w:right w:val="nil"/>
          <w:between w:val="nil"/>
        </w:pBdr>
      </w:pPr>
      <w:r>
        <w:t>What is an external review?</w:t>
      </w:r>
    </w:p>
    <w:p w14:paraId="5FCB8B04" w14:textId="68EDE971" w:rsidR="00620A48" w:rsidRPr="00620A48" w:rsidRDefault="00620A48" w:rsidP="00620A48">
      <w:pPr>
        <w:pStyle w:val="ListParagraph"/>
        <w:numPr>
          <w:ilvl w:val="1"/>
          <w:numId w:val="1"/>
        </w:numPr>
        <w:rPr>
          <w:rFonts w:asciiTheme="minorHAnsi" w:eastAsia="Times New Roman" w:hAnsiTheme="minorHAnsi" w:cs="Times New Roman"/>
        </w:rPr>
      </w:pPr>
      <w:r>
        <w:rPr>
          <w:rFonts w:asciiTheme="minorHAnsi" w:eastAsia="Times New Roman" w:hAnsiTheme="minorHAnsi" w:cs="Times New Roman"/>
        </w:rPr>
        <w:t>“</w:t>
      </w:r>
      <w:hyperlink r:id="rId11" w:history="1">
        <w:r w:rsidRPr="00620A48">
          <w:rPr>
            <w:rFonts w:asciiTheme="minorHAnsi" w:eastAsia="Times New Roman" w:hAnsiTheme="minorHAnsi" w:cs="Times New Roman"/>
            <w:color w:val="0000FF"/>
            <w:u w:val="single"/>
          </w:rPr>
          <w:t>External review:</w:t>
        </w:r>
      </w:hyperlink>
      <w:r w:rsidRPr="00620A48">
        <w:rPr>
          <w:rFonts w:asciiTheme="minorHAnsi" w:eastAsia="Times New Roman" w:hAnsiTheme="minorHAnsi" w:cs="Times New Roman"/>
        </w:rPr>
        <w:t xml:space="preserve"> You have the right to take your appeal to an independent third party for review. This is called external review. External review means that the insurance company no longer gets the final say over whether to pay a claim.</w:t>
      </w:r>
      <w:r>
        <w:rPr>
          <w:rFonts w:asciiTheme="minorHAnsi" w:eastAsia="Times New Roman" w:hAnsiTheme="minorHAnsi" w:cs="Times New Roman"/>
        </w:rPr>
        <w:t>”</w:t>
      </w:r>
    </w:p>
    <w:p w14:paraId="2538C82F" w14:textId="619A3B8B" w:rsidR="005339A4" w:rsidRDefault="00406F10" w:rsidP="00620A48">
      <w:pPr>
        <w:pStyle w:val="Normal1"/>
        <w:numPr>
          <w:ilvl w:val="1"/>
          <w:numId w:val="1"/>
        </w:numPr>
        <w:pBdr>
          <w:top w:val="nil"/>
          <w:left w:val="nil"/>
          <w:bottom w:val="nil"/>
          <w:right w:val="nil"/>
          <w:between w:val="nil"/>
        </w:pBdr>
      </w:pPr>
      <w:hyperlink r:id="rId12" w:history="1">
        <w:r w:rsidR="00620A48" w:rsidRPr="00A06DBC">
          <w:rPr>
            <w:rStyle w:val="Hyperlink"/>
          </w:rPr>
          <w:t>https://www.healthcare.gov/appeal-insurance-company-decision/</w:t>
        </w:r>
      </w:hyperlink>
    </w:p>
    <w:p w14:paraId="74EB3995" w14:textId="6D812246" w:rsidR="00620A48" w:rsidRDefault="00620A48" w:rsidP="00620A48">
      <w:pPr>
        <w:pStyle w:val="Normal1"/>
        <w:numPr>
          <w:ilvl w:val="0"/>
          <w:numId w:val="1"/>
        </w:numPr>
        <w:pBdr>
          <w:top w:val="nil"/>
          <w:left w:val="nil"/>
          <w:bottom w:val="nil"/>
          <w:right w:val="nil"/>
          <w:between w:val="nil"/>
        </w:pBdr>
      </w:pPr>
      <w:r>
        <w:t>PPS urges physical therapy practices to support their patients by educating themselves and their patients and helping patients use their rights to access medically necessary services by appealing treatment or UM denials.</w:t>
      </w:r>
    </w:p>
    <w:sectPr w:rsidR="00620A48" w:rsidSect="00572768">
      <w:headerReference w:type="even" r:id="rId13"/>
      <w:headerReference w:type="default" r:id="rId14"/>
      <w:footerReference w:type="even" r:id="rId15"/>
      <w:footerReference w:type="default" r:id="rId16"/>
      <w:headerReference w:type="first" r:id="rId17"/>
      <w:footerReference w:type="first" r:id="rId18"/>
      <w:pgSz w:w="12240" w:h="15840"/>
      <w:pgMar w:top="2095"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6C32E" w14:textId="77777777" w:rsidR="00406F10" w:rsidRDefault="00406F10">
      <w:r>
        <w:separator/>
      </w:r>
    </w:p>
  </w:endnote>
  <w:endnote w:type="continuationSeparator" w:id="0">
    <w:p w14:paraId="7DC98AEE" w14:textId="77777777" w:rsidR="00406F10" w:rsidRDefault="0040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0ECD" w14:textId="77777777" w:rsidR="00442ABD" w:rsidRDefault="0044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8B54B7" w:rsidRDefault="008B54B7">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F699" w14:textId="77777777" w:rsidR="00442ABD" w:rsidRDefault="0044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7234D" w14:textId="77777777" w:rsidR="00406F10" w:rsidRDefault="00406F10">
      <w:r>
        <w:separator/>
      </w:r>
    </w:p>
  </w:footnote>
  <w:footnote w:type="continuationSeparator" w:id="0">
    <w:p w14:paraId="48D7559F" w14:textId="77777777" w:rsidR="00406F10" w:rsidRDefault="00406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41154" w14:textId="77777777" w:rsidR="00442ABD" w:rsidRDefault="00442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7792E314" w:rsidR="008B54B7" w:rsidRDefault="00572768" w:rsidP="00442ABD">
    <w:pPr>
      <w:pStyle w:val="Header"/>
      <w:jc w:val="center"/>
    </w:pPr>
    <w:bookmarkStart w:id="0" w:name="_GoBack"/>
    <w:bookmarkEnd w:id="0"/>
    <w:r>
      <w:rPr>
        <w:b/>
        <w:bCs/>
        <w:noProof/>
        <w:color w:val="000000"/>
        <w:bdr w:val="none" w:sz="0" w:space="0" w:color="auto" w:frame="1"/>
      </w:rPr>
      <w:drawing>
        <wp:anchor distT="0" distB="0" distL="114300" distR="114300" simplePos="0" relativeHeight="251659264" behindDoc="0" locked="0" layoutInCell="1" allowOverlap="1" wp14:anchorId="591E5BDE" wp14:editId="69CCDBC2">
          <wp:simplePos x="0" y="0"/>
          <wp:positionH relativeFrom="column">
            <wp:posOffset>1609980</wp:posOffset>
          </wp:positionH>
          <wp:positionV relativeFrom="paragraph">
            <wp:posOffset>-299167</wp:posOffset>
          </wp:positionV>
          <wp:extent cx="2738825" cy="1100902"/>
          <wp:effectExtent l="0" t="0" r="0" b="0"/>
          <wp:wrapNone/>
          <wp:docPr id="1" name="Picture 1" descr="apta_pvt-practice_full_color_rgb-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a_pvt-practice_full_color_rgb-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8825" cy="1100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BB111F" w14:textId="77777777" w:rsidR="00442ABD" w:rsidRPr="00442ABD" w:rsidRDefault="00442ABD" w:rsidP="00442AB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0B9D" w14:textId="77777777" w:rsidR="00442ABD" w:rsidRDefault="00442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21CC"/>
    <w:multiLevelType w:val="hybridMultilevel"/>
    <w:tmpl w:val="8EB42F04"/>
    <w:lvl w:ilvl="0" w:tplc="2F58CEBA">
      <w:start w:val="1"/>
      <w:numFmt w:val="bullet"/>
      <w:lvlText w:val="•"/>
      <w:lvlJc w:val="left"/>
      <w:pPr>
        <w:tabs>
          <w:tab w:val="num" w:pos="720"/>
        </w:tabs>
        <w:ind w:left="720" w:hanging="360"/>
      </w:pPr>
      <w:rPr>
        <w:rFonts w:ascii="Arial" w:hAnsi="Arial" w:hint="default"/>
      </w:rPr>
    </w:lvl>
    <w:lvl w:ilvl="1" w:tplc="72268D5C">
      <w:start w:val="1412"/>
      <w:numFmt w:val="bullet"/>
      <w:lvlText w:val=""/>
      <w:lvlJc w:val="left"/>
      <w:pPr>
        <w:tabs>
          <w:tab w:val="num" w:pos="1440"/>
        </w:tabs>
        <w:ind w:left="1440" w:hanging="360"/>
      </w:pPr>
      <w:rPr>
        <w:rFonts w:ascii="Wingdings" w:hAnsi="Wingdings" w:hint="default"/>
      </w:rPr>
    </w:lvl>
    <w:lvl w:ilvl="2" w:tplc="9F8C519E">
      <w:start w:val="1412"/>
      <w:numFmt w:val="bullet"/>
      <w:lvlText w:val="o"/>
      <w:lvlJc w:val="left"/>
      <w:pPr>
        <w:tabs>
          <w:tab w:val="num" w:pos="2160"/>
        </w:tabs>
        <w:ind w:left="2160" w:hanging="360"/>
      </w:pPr>
      <w:rPr>
        <w:rFonts w:ascii="Courier New" w:hAnsi="Courier New" w:hint="default"/>
      </w:rPr>
    </w:lvl>
    <w:lvl w:ilvl="3" w:tplc="AB149510" w:tentative="1">
      <w:start w:val="1"/>
      <w:numFmt w:val="bullet"/>
      <w:lvlText w:val="•"/>
      <w:lvlJc w:val="left"/>
      <w:pPr>
        <w:tabs>
          <w:tab w:val="num" w:pos="2880"/>
        </w:tabs>
        <w:ind w:left="2880" w:hanging="360"/>
      </w:pPr>
      <w:rPr>
        <w:rFonts w:ascii="Arial" w:hAnsi="Arial" w:hint="default"/>
      </w:rPr>
    </w:lvl>
    <w:lvl w:ilvl="4" w:tplc="10BECC98" w:tentative="1">
      <w:start w:val="1"/>
      <w:numFmt w:val="bullet"/>
      <w:lvlText w:val="•"/>
      <w:lvlJc w:val="left"/>
      <w:pPr>
        <w:tabs>
          <w:tab w:val="num" w:pos="3600"/>
        </w:tabs>
        <w:ind w:left="3600" w:hanging="360"/>
      </w:pPr>
      <w:rPr>
        <w:rFonts w:ascii="Arial" w:hAnsi="Arial" w:hint="default"/>
      </w:rPr>
    </w:lvl>
    <w:lvl w:ilvl="5" w:tplc="57DE7496" w:tentative="1">
      <w:start w:val="1"/>
      <w:numFmt w:val="bullet"/>
      <w:lvlText w:val="•"/>
      <w:lvlJc w:val="left"/>
      <w:pPr>
        <w:tabs>
          <w:tab w:val="num" w:pos="4320"/>
        </w:tabs>
        <w:ind w:left="4320" w:hanging="360"/>
      </w:pPr>
      <w:rPr>
        <w:rFonts w:ascii="Arial" w:hAnsi="Arial" w:hint="default"/>
      </w:rPr>
    </w:lvl>
    <w:lvl w:ilvl="6" w:tplc="10E43C62" w:tentative="1">
      <w:start w:val="1"/>
      <w:numFmt w:val="bullet"/>
      <w:lvlText w:val="•"/>
      <w:lvlJc w:val="left"/>
      <w:pPr>
        <w:tabs>
          <w:tab w:val="num" w:pos="5040"/>
        </w:tabs>
        <w:ind w:left="5040" w:hanging="360"/>
      </w:pPr>
      <w:rPr>
        <w:rFonts w:ascii="Arial" w:hAnsi="Arial" w:hint="default"/>
      </w:rPr>
    </w:lvl>
    <w:lvl w:ilvl="7" w:tplc="D7EE43F6" w:tentative="1">
      <w:start w:val="1"/>
      <w:numFmt w:val="bullet"/>
      <w:lvlText w:val="•"/>
      <w:lvlJc w:val="left"/>
      <w:pPr>
        <w:tabs>
          <w:tab w:val="num" w:pos="5760"/>
        </w:tabs>
        <w:ind w:left="5760" w:hanging="360"/>
      </w:pPr>
      <w:rPr>
        <w:rFonts w:ascii="Arial" w:hAnsi="Arial" w:hint="default"/>
      </w:rPr>
    </w:lvl>
    <w:lvl w:ilvl="8" w:tplc="A8EACE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057B83"/>
    <w:multiLevelType w:val="hybridMultilevel"/>
    <w:tmpl w:val="39F26DD2"/>
    <w:lvl w:ilvl="0" w:tplc="75D60594">
      <w:start w:val="1"/>
      <w:numFmt w:val="bullet"/>
      <w:lvlText w:val="•"/>
      <w:lvlJc w:val="left"/>
      <w:pPr>
        <w:tabs>
          <w:tab w:val="num" w:pos="720"/>
        </w:tabs>
        <w:ind w:left="720" w:hanging="360"/>
      </w:pPr>
      <w:rPr>
        <w:rFonts w:ascii="Arial" w:hAnsi="Arial" w:hint="default"/>
      </w:rPr>
    </w:lvl>
    <w:lvl w:ilvl="1" w:tplc="4E241062" w:tentative="1">
      <w:start w:val="1"/>
      <w:numFmt w:val="bullet"/>
      <w:lvlText w:val="•"/>
      <w:lvlJc w:val="left"/>
      <w:pPr>
        <w:tabs>
          <w:tab w:val="num" w:pos="1440"/>
        </w:tabs>
        <w:ind w:left="1440" w:hanging="360"/>
      </w:pPr>
      <w:rPr>
        <w:rFonts w:ascii="Arial" w:hAnsi="Arial" w:hint="default"/>
      </w:rPr>
    </w:lvl>
    <w:lvl w:ilvl="2" w:tplc="C45A6CE2" w:tentative="1">
      <w:start w:val="1"/>
      <w:numFmt w:val="bullet"/>
      <w:lvlText w:val="•"/>
      <w:lvlJc w:val="left"/>
      <w:pPr>
        <w:tabs>
          <w:tab w:val="num" w:pos="2160"/>
        </w:tabs>
        <w:ind w:left="2160" w:hanging="360"/>
      </w:pPr>
      <w:rPr>
        <w:rFonts w:ascii="Arial" w:hAnsi="Arial" w:hint="default"/>
      </w:rPr>
    </w:lvl>
    <w:lvl w:ilvl="3" w:tplc="7EA29DEA" w:tentative="1">
      <w:start w:val="1"/>
      <w:numFmt w:val="bullet"/>
      <w:lvlText w:val="•"/>
      <w:lvlJc w:val="left"/>
      <w:pPr>
        <w:tabs>
          <w:tab w:val="num" w:pos="2880"/>
        </w:tabs>
        <w:ind w:left="2880" w:hanging="360"/>
      </w:pPr>
      <w:rPr>
        <w:rFonts w:ascii="Arial" w:hAnsi="Arial" w:hint="default"/>
      </w:rPr>
    </w:lvl>
    <w:lvl w:ilvl="4" w:tplc="9B045B1A" w:tentative="1">
      <w:start w:val="1"/>
      <w:numFmt w:val="bullet"/>
      <w:lvlText w:val="•"/>
      <w:lvlJc w:val="left"/>
      <w:pPr>
        <w:tabs>
          <w:tab w:val="num" w:pos="3600"/>
        </w:tabs>
        <w:ind w:left="3600" w:hanging="360"/>
      </w:pPr>
      <w:rPr>
        <w:rFonts w:ascii="Arial" w:hAnsi="Arial" w:hint="default"/>
      </w:rPr>
    </w:lvl>
    <w:lvl w:ilvl="5" w:tplc="835CBEE4" w:tentative="1">
      <w:start w:val="1"/>
      <w:numFmt w:val="bullet"/>
      <w:lvlText w:val="•"/>
      <w:lvlJc w:val="left"/>
      <w:pPr>
        <w:tabs>
          <w:tab w:val="num" w:pos="4320"/>
        </w:tabs>
        <w:ind w:left="4320" w:hanging="360"/>
      </w:pPr>
      <w:rPr>
        <w:rFonts w:ascii="Arial" w:hAnsi="Arial" w:hint="default"/>
      </w:rPr>
    </w:lvl>
    <w:lvl w:ilvl="6" w:tplc="BA8AF3FA" w:tentative="1">
      <w:start w:val="1"/>
      <w:numFmt w:val="bullet"/>
      <w:lvlText w:val="•"/>
      <w:lvlJc w:val="left"/>
      <w:pPr>
        <w:tabs>
          <w:tab w:val="num" w:pos="5040"/>
        </w:tabs>
        <w:ind w:left="5040" w:hanging="360"/>
      </w:pPr>
      <w:rPr>
        <w:rFonts w:ascii="Arial" w:hAnsi="Arial" w:hint="default"/>
      </w:rPr>
    </w:lvl>
    <w:lvl w:ilvl="7" w:tplc="61CC5B3E" w:tentative="1">
      <w:start w:val="1"/>
      <w:numFmt w:val="bullet"/>
      <w:lvlText w:val="•"/>
      <w:lvlJc w:val="left"/>
      <w:pPr>
        <w:tabs>
          <w:tab w:val="num" w:pos="5760"/>
        </w:tabs>
        <w:ind w:left="5760" w:hanging="360"/>
      </w:pPr>
      <w:rPr>
        <w:rFonts w:ascii="Arial" w:hAnsi="Arial" w:hint="default"/>
      </w:rPr>
    </w:lvl>
    <w:lvl w:ilvl="8" w:tplc="F1CA67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624F9A"/>
    <w:multiLevelType w:val="hybridMultilevel"/>
    <w:tmpl w:val="0D56F12E"/>
    <w:lvl w:ilvl="0" w:tplc="1338C9CC">
      <w:start w:val="1"/>
      <w:numFmt w:val="bullet"/>
      <w:lvlText w:val="•"/>
      <w:lvlJc w:val="left"/>
      <w:pPr>
        <w:tabs>
          <w:tab w:val="num" w:pos="720"/>
        </w:tabs>
        <w:ind w:left="720" w:hanging="360"/>
      </w:pPr>
      <w:rPr>
        <w:rFonts w:ascii="Arial" w:hAnsi="Arial" w:hint="default"/>
      </w:rPr>
    </w:lvl>
    <w:lvl w:ilvl="1" w:tplc="1076E764">
      <w:start w:val="1434"/>
      <w:numFmt w:val="bullet"/>
      <w:lvlText w:val=""/>
      <w:lvlJc w:val="left"/>
      <w:pPr>
        <w:tabs>
          <w:tab w:val="num" w:pos="1440"/>
        </w:tabs>
        <w:ind w:left="1440" w:hanging="360"/>
      </w:pPr>
      <w:rPr>
        <w:rFonts w:ascii="Wingdings" w:hAnsi="Wingdings" w:hint="default"/>
      </w:rPr>
    </w:lvl>
    <w:lvl w:ilvl="2" w:tplc="A2981430" w:tentative="1">
      <w:start w:val="1"/>
      <w:numFmt w:val="bullet"/>
      <w:lvlText w:val="•"/>
      <w:lvlJc w:val="left"/>
      <w:pPr>
        <w:tabs>
          <w:tab w:val="num" w:pos="2160"/>
        </w:tabs>
        <w:ind w:left="2160" w:hanging="360"/>
      </w:pPr>
      <w:rPr>
        <w:rFonts w:ascii="Arial" w:hAnsi="Arial" w:hint="default"/>
      </w:rPr>
    </w:lvl>
    <w:lvl w:ilvl="3" w:tplc="FA6ED91A" w:tentative="1">
      <w:start w:val="1"/>
      <w:numFmt w:val="bullet"/>
      <w:lvlText w:val="•"/>
      <w:lvlJc w:val="left"/>
      <w:pPr>
        <w:tabs>
          <w:tab w:val="num" w:pos="2880"/>
        </w:tabs>
        <w:ind w:left="2880" w:hanging="360"/>
      </w:pPr>
      <w:rPr>
        <w:rFonts w:ascii="Arial" w:hAnsi="Arial" w:hint="default"/>
      </w:rPr>
    </w:lvl>
    <w:lvl w:ilvl="4" w:tplc="74CEA68C" w:tentative="1">
      <w:start w:val="1"/>
      <w:numFmt w:val="bullet"/>
      <w:lvlText w:val="•"/>
      <w:lvlJc w:val="left"/>
      <w:pPr>
        <w:tabs>
          <w:tab w:val="num" w:pos="3600"/>
        </w:tabs>
        <w:ind w:left="3600" w:hanging="360"/>
      </w:pPr>
      <w:rPr>
        <w:rFonts w:ascii="Arial" w:hAnsi="Arial" w:hint="default"/>
      </w:rPr>
    </w:lvl>
    <w:lvl w:ilvl="5" w:tplc="F3C450FC" w:tentative="1">
      <w:start w:val="1"/>
      <w:numFmt w:val="bullet"/>
      <w:lvlText w:val="•"/>
      <w:lvlJc w:val="left"/>
      <w:pPr>
        <w:tabs>
          <w:tab w:val="num" w:pos="4320"/>
        </w:tabs>
        <w:ind w:left="4320" w:hanging="360"/>
      </w:pPr>
      <w:rPr>
        <w:rFonts w:ascii="Arial" w:hAnsi="Arial" w:hint="default"/>
      </w:rPr>
    </w:lvl>
    <w:lvl w:ilvl="6" w:tplc="308CED84" w:tentative="1">
      <w:start w:val="1"/>
      <w:numFmt w:val="bullet"/>
      <w:lvlText w:val="•"/>
      <w:lvlJc w:val="left"/>
      <w:pPr>
        <w:tabs>
          <w:tab w:val="num" w:pos="5040"/>
        </w:tabs>
        <w:ind w:left="5040" w:hanging="360"/>
      </w:pPr>
      <w:rPr>
        <w:rFonts w:ascii="Arial" w:hAnsi="Arial" w:hint="default"/>
      </w:rPr>
    </w:lvl>
    <w:lvl w:ilvl="7" w:tplc="96663DFC" w:tentative="1">
      <w:start w:val="1"/>
      <w:numFmt w:val="bullet"/>
      <w:lvlText w:val="•"/>
      <w:lvlJc w:val="left"/>
      <w:pPr>
        <w:tabs>
          <w:tab w:val="num" w:pos="5760"/>
        </w:tabs>
        <w:ind w:left="5760" w:hanging="360"/>
      </w:pPr>
      <w:rPr>
        <w:rFonts w:ascii="Arial" w:hAnsi="Arial" w:hint="default"/>
      </w:rPr>
    </w:lvl>
    <w:lvl w:ilvl="8" w:tplc="56E62F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BC22AB"/>
    <w:multiLevelType w:val="hybridMultilevel"/>
    <w:tmpl w:val="646876F0"/>
    <w:lvl w:ilvl="0" w:tplc="5C661CD2">
      <w:start w:val="1"/>
      <w:numFmt w:val="bullet"/>
      <w:lvlText w:val="•"/>
      <w:lvlJc w:val="left"/>
      <w:pPr>
        <w:tabs>
          <w:tab w:val="num" w:pos="720"/>
        </w:tabs>
        <w:ind w:left="720" w:hanging="360"/>
      </w:pPr>
      <w:rPr>
        <w:rFonts w:ascii="Arial" w:hAnsi="Arial" w:hint="default"/>
      </w:rPr>
    </w:lvl>
    <w:lvl w:ilvl="1" w:tplc="24366F24">
      <w:start w:val="1457"/>
      <w:numFmt w:val="bullet"/>
      <w:lvlText w:val=""/>
      <w:lvlJc w:val="left"/>
      <w:pPr>
        <w:tabs>
          <w:tab w:val="num" w:pos="1440"/>
        </w:tabs>
        <w:ind w:left="1440" w:hanging="360"/>
      </w:pPr>
      <w:rPr>
        <w:rFonts w:ascii="Wingdings" w:hAnsi="Wingdings" w:hint="default"/>
      </w:rPr>
    </w:lvl>
    <w:lvl w:ilvl="2" w:tplc="31C6F876" w:tentative="1">
      <w:start w:val="1"/>
      <w:numFmt w:val="bullet"/>
      <w:lvlText w:val="•"/>
      <w:lvlJc w:val="left"/>
      <w:pPr>
        <w:tabs>
          <w:tab w:val="num" w:pos="2160"/>
        </w:tabs>
        <w:ind w:left="2160" w:hanging="360"/>
      </w:pPr>
      <w:rPr>
        <w:rFonts w:ascii="Arial" w:hAnsi="Arial" w:hint="default"/>
      </w:rPr>
    </w:lvl>
    <w:lvl w:ilvl="3" w:tplc="8EB05886" w:tentative="1">
      <w:start w:val="1"/>
      <w:numFmt w:val="bullet"/>
      <w:lvlText w:val="•"/>
      <w:lvlJc w:val="left"/>
      <w:pPr>
        <w:tabs>
          <w:tab w:val="num" w:pos="2880"/>
        </w:tabs>
        <w:ind w:left="2880" w:hanging="360"/>
      </w:pPr>
      <w:rPr>
        <w:rFonts w:ascii="Arial" w:hAnsi="Arial" w:hint="default"/>
      </w:rPr>
    </w:lvl>
    <w:lvl w:ilvl="4" w:tplc="5D76E34E" w:tentative="1">
      <w:start w:val="1"/>
      <w:numFmt w:val="bullet"/>
      <w:lvlText w:val="•"/>
      <w:lvlJc w:val="left"/>
      <w:pPr>
        <w:tabs>
          <w:tab w:val="num" w:pos="3600"/>
        </w:tabs>
        <w:ind w:left="3600" w:hanging="360"/>
      </w:pPr>
      <w:rPr>
        <w:rFonts w:ascii="Arial" w:hAnsi="Arial" w:hint="default"/>
      </w:rPr>
    </w:lvl>
    <w:lvl w:ilvl="5" w:tplc="BE66E9C4" w:tentative="1">
      <w:start w:val="1"/>
      <w:numFmt w:val="bullet"/>
      <w:lvlText w:val="•"/>
      <w:lvlJc w:val="left"/>
      <w:pPr>
        <w:tabs>
          <w:tab w:val="num" w:pos="4320"/>
        </w:tabs>
        <w:ind w:left="4320" w:hanging="360"/>
      </w:pPr>
      <w:rPr>
        <w:rFonts w:ascii="Arial" w:hAnsi="Arial" w:hint="default"/>
      </w:rPr>
    </w:lvl>
    <w:lvl w:ilvl="6" w:tplc="CBCE1E82" w:tentative="1">
      <w:start w:val="1"/>
      <w:numFmt w:val="bullet"/>
      <w:lvlText w:val="•"/>
      <w:lvlJc w:val="left"/>
      <w:pPr>
        <w:tabs>
          <w:tab w:val="num" w:pos="5040"/>
        </w:tabs>
        <w:ind w:left="5040" w:hanging="360"/>
      </w:pPr>
      <w:rPr>
        <w:rFonts w:ascii="Arial" w:hAnsi="Arial" w:hint="default"/>
      </w:rPr>
    </w:lvl>
    <w:lvl w:ilvl="7" w:tplc="C734B832" w:tentative="1">
      <w:start w:val="1"/>
      <w:numFmt w:val="bullet"/>
      <w:lvlText w:val="•"/>
      <w:lvlJc w:val="left"/>
      <w:pPr>
        <w:tabs>
          <w:tab w:val="num" w:pos="5760"/>
        </w:tabs>
        <w:ind w:left="5760" w:hanging="360"/>
      </w:pPr>
      <w:rPr>
        <w:rFonts w:ascii="Arial" w:hAnsi="Arial" w:hint="default"/>
      </w:rPr>
    </w:lvl>
    <w:lvl w:ilvl="8" w:tplc="F800B9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233E9C"/>
    <w:multiLevelType w:val="multilevel"/>
    <w:tmpl w:val="497C7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165B9C"/>
    <w:multiLevelType w:val="hybridMultilevel"/>
    <w:tmpl w:val="63AE9DCA"/>
    <w:lvl w:ilvl="0" w:tplc="C8FAD480">
      <w:start w:val="1"/>
      <w:numFmt w:val="bullet"/>
      <w:lvlText w:val="•"/>
      <w:lvlJc w:val="left"/>
      <w:pPr>
        <w:tabs>
          <w:tab w:val="num" w:pos="720"/>
        </w:tabs>
        <w:ind w:left="720" w:hanging="360"/>
      </w:pPr>
      <w:rPr>
        <w:rFonts w:ascii="Arial" w:hAnsi="Arial" w:hint="default"/>
      </w:rPr>
    </w:lvl>
    <w:lvl w:ilvl="1" w:tplc="C40A30E0">
      <w:start w:val="1398"/>
      <w:numFmt w:val="bullet"/>
      <w:lvlText w:val=""/>
      <w:lvlJc w:val="left"/>
      <w:pPr>
        <w:tabs>
          <w:tab w:val="num" w:pos="1440"/>
        </w:tabs>
        <w:ind w:left="1440" w:hanging="360"/>
      </w:pPr>
      <w:rPr>
        <w:rFonts w:ascii="Wingdings" w:hAnsi="Wingdings" w:hint="default"/>
      </w:rPr>
    </w:lvl>
    <w:lvl w:ilvl="2" w:tplc="8160A8C4" w:tentative="1">
      <w:start w:val="1"/>
      <w:numFmt w:val="bullet"/>
      <w:lvlText w:val="•"/>
      <w:lvlJc w:val="left"/>
      <w:pPr>
        <w:tabs>
          <w:tab w:val="num" w:pos="2160"/>
        </w:tabs>
        <w:ind w:left="2160" w:hanging="360"/>
      </w:pPr>
      <w:rPr>
        <w:rFonts w:ascii="Arial" w:hAnsi="Arial" w:hint="default"/>
      </w:rPr>
    </w:lvl>
    <w:lvl w:ilvl="3" w:tplc="EC5C2FA8" w:tentative="1">
      <w:start w:val="1"/>
      <w:numFmt w:val="bullet"/>
      <w:lvlText w:val="•"/>
      <w:lvlJc w:val="left"/>
      <w:pPr>
        <w:tabs>
          <w:tab w:val="num" w:pos="2880"/>
        </w:tabs>
        <w:ind w:left="2880" w:hanging="360"/>
      </w:pPr>
      <w:rPr>
        <w:rFonts w:ascii="Arial" w:hAnsi="Arial" w:hint="default"/>
      </w:rPr>
    </w:lvl>
    <w:lvl w:ilvl="4" w:tplc="CEA4DF1E" w:tentative="1">
      <w:start w:val="1"/>
      <w:numFmt w:val="bullet"/>
      <w:lvlText w:val="•"/>
      <w:lvlJc w:val="left"/>
      <w:pPr>
        <w:tabs>
          <w:tab w:val="num" w:pos="3600"/>
        </w:tabs>
        <w:ind w:left="3600" w:hanging="360"/>
      </w:pPr>
      <w:rPr>
        <w:rFonts w:ascii="Arial" w:hAnsi="Arial" w:hint="default"/>
      </w:rPr>
    </w:lvl>
    <w:lvl w:ilvl="5" w:tplc="223CC8AA" w:tentative="1">
      <w:start w:val="1"/>
      <w:numFmt w:val="bullet"/>
      <w:lvlText w:val="•"/>
      <w:lvlJc w:val="left"/>
      <w:pPr>
        <w:tabs>
          <w:tab w:val="num" w:pos="4320"/>
        </w:tabs>
        <w:ind w:left="4320" w:hanging="360"/>
      </w:pPr>
      <w:rPr>
        <w:rFonts w:ascii="Arial" w:hAnsi="Arial" w:hint="default"/>
      </w:rPr>
    </w:lvl>
    <w:lvl w:ilvl="6" w:tplc="A142F8E0" w:tentative="1">
      <w:start w:val="1"/>
      <w:numFmt w:val="bullet"/>
      <w:lvlText w:val="•"/>
      <w:lvlJc w:val="left"/>
      <w:pPr>
        <w:tabs>
          <w:tab w:val="num" w:pos="5040"/>
        </w:tabs>
        <w:ind w:left="5040" w:hanging="360"/>
      </w:pPr>
      <w:rPr>
        <w:rFonts w:ascii="Arial" w:hAnsi="Arial" w:hint="default"/>
      </w:rPr>
    </w:lvl>
    <w:lvl w:ilvl="7" w:tplc="574A2DA8" w:tentative="1">
      <w:start w:val="1"/>
      <w:numFmt w:val="bullet"/>
      <w:lvlText w:val="•"/>
      <w:lvlJc w:val="left"/>
      <w:pPr>
        <w:tabs>
          <w:tab w:val="num" w:pos="5760"/>
        </w:tabs>
        <w:ind w:left="5760" w:hanging="360"/>
      </w:pPr>
      <w:rPr>
        <w:rFonts w:ascii="Arial" w:hAnsi="Arial" w:hint="default"/>
      </w:rPr>
    </w:lvl>
    <w:lvl w:ilvl="8" w:tplc="FA089E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D405D1"/>
    <w:multiLevelType w:val="hybridMultilevel"/>
    <w:tmpl w:val="80B8B5C6"/>
    <w:lvl w:ilvl="0" w:tplc="F428290A">
      <w:start w:val="1"/>
      <w:numFmt w:val="bullet"/>
      <w:lvlText w:val="•"/>
      <w:lvlJc w:val="left"/>
      <w:pPr>
        <w:tabs>
          <w:tab w:val="num" w:pos="720"/>
        </w:tabs>
        <w:ind w:left="720" w:hanging="360"/>
      </w:pPr>
      <w:rPr>
        <w:rFonts w:ascii="Arial" w:hAnsi="Arial" w:hint="default"/>
      </w:rPr>
    </w:lvl>
    <w:lvl w:ilvl="1" w:tplc="C65C2BEA">
      <w:start w:val="1470"/>
      <w:numFmt w:val="bullet"/>
      <w:lvlText w:val=""/>
      <w:lvlJc w:val="left"/>
      <w:pPr>
        <w:tabs>
          <w:tab w:val="num" w:pos="1440"/>
        </w:tabs>
        <w:ind w:left="1440" w:hanging="360"/>
      </w:pPr>
      <w:rPr>
        <w:rFonts w:ascii="Wingdings" w:hAnsi="Wingdings" w:hint="default"/>
      </w:rPr>
    </w:lvl>
    <w:lvl w:ilvl="2" w:tplc="F9664146" w:tentative="1">
      <w:start w:val="1"/>
      <w:numFmt w:val="bullet"/>
      <w:lvlText w:val="•"/>
      <w:lvlJc w:val="left"/>
      <w:pPr>
        <w:tabs>
          <w:tab w:val="num" w:pos="2160"/>
        </w:tabs>
        <w:ind w:left="2160" w:hanging="360"/>
      </w:pPr>
      <w:rPr>
        <w:rFonts w:ascii="Arial" w:hAnsi="Arial" w:hint="default"/>
      </w:rPr>
    </w:lvl>
    <w:lvl w:ilvl="3" w:tplc="A86A5728" w:tentative="1">
      <w:start w:val="1"/>
      <w:numFmt w:val="bullet"/>
      <w:lvlText w:val="•"/>
      <w:lvlJc w:val="left"/>
      <w:pPr>
        <w:tabs>
          <w:tab w:val="num" w:pos="2880"/>
        </w:tabs>
        <w:ind w:left="2880" w:hanging="360"/>
      </w:pPr>
      <w:rPr>
        <w:rFonts w:ascii="Arial" w:hAnsi="Arial" w:hint="default"/>
      </w:rPr>
    </w:lvl>
    <w:lvl w:ilvl="4" w:tplc="28F6DB10" w:tentative="1">
      <w:start w:val="1"/>
      <w:numFmt w:val="bullet"/>
      <w:lvlText w:val="•"/>
      <w:lvlJc w:val="left"/>
      <w:pPr>
        <w:tabs>
          <w:tab w:val="num" w:pos="3600"/>
        </w:tabs>
        <w:ind w:left="3600" w:hanging="360"/>
      </w:pPr>
      <w:rPr>
        <w:rFonts w:ascii="Arial" w:hAnsi="Arial" w:hint="default"/>
      </w:rPr>
    </w:lvl>
    <w:lvl w:ilvl="5" w:tplc="96723A0E" w:tentative="1">
      <w:start w:val="1"/>
      <w:numFmt w:val="bullet"/>
      <w:lvlText w:val="•"/>
      <w:lvlJc w:val="left"/>
      <w:pPr>
        <w:tabs>
          <w:tab w:val="num" w:pos="4320"/>
        </w:tabs>
        <w:ind w:left="4320" w:hanging="360"/>
      </w:pPr>
      <w:rPr>
        <w:rFonts w:ascii="Arial" w:hAnsi="Arial" w:hint="default"/>
      </w:rPr>
    </w:lvl>
    <w:lvl w:ilvl="6" w:tplc="862847CA" w:tentative="1">
      <w:start w:val="1"/>
      <w:numFmt w:val="bullet"/>
      <w:lvlText w:val="•"/>
      <w:lvlJc w:val="left"/>
      <w:pPr>
        <w:tabs>
          <w:tab w:val="num" w:pos="5040"/>
        </w:tabs>
        <w:ind w:left="5040" w:hanging="360"/>
      </w:pPr>
      <w:rPr>
        <w:rFonts w:ascii="Arial" w:hAnsi="Arial" w:hint="default"/>
      </w:rPr>
    </w:lvl>
    <w:lvl w:ilvl="7" w:tplc="9738B75C" w:tentative="1">
      <w:start w:val="1"/>
      <w:numFmt w:val="bullet"/>
      <w:lvlText w:val="•"/>
      <w:lvlJc w:val="left"/>
      <w:pPr>
        <w:tabs>
          <w:tab w:val="num" w:pos="5760"/>
        </w:tabs>
        <w:ind w:left="5760" w:hanging="360"/>
      </w:pPr>
      <w:rPr>
        <w:rFonts w:ascii="Arial" w:hAnsi="Arial" w:hint="default"/>
      </w:rPr>
    </w:lvl>
    <w:lvl w:ilvl="8" w:tplc="F2EAB2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7D573D"/>
    <w:multiLevelType w:val="hybridMultilevel"/>
    <w:tmpl w:val="37201784"/>
    <w:lvl w:ilvl="0" w:tplc="680287B8">
      <w:start w:val="5"/>
      <w:numFmt w:val="bullet"/>
      <w:lvlText w:val="·"/>
      <w:lvlJc w:val="left"/>
      <w:pPr>
        <w:ind w:left="1100" w:hanging="38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A3"/>
    <w:rsid w:val="000161A3"/>
    <w:rsid w:val="0017768F"/>
    <w:rsid w:val="00293541"/>
    <w:rsid w:val="00406F10"/>
    <w:rsid w:val="00442ABD"/>
    <w:rsid w:val="004667C7"/>
    <w:rsid w:val="004A2AD0"/>
    <w:rsid w:val="005339A4"/>
    <w:rsid w:val="00572768"/>
    <w:rsid w:val="00620A48"/>
    <w:rsid w:val="00735E4E"/>
    <w:rsid w:val="008B54B7"/>
    <w:rsid w:val="00C6688F"/>
    <w:rsid w:val="00DA7D4E"/>
    <w:rsid w:val="00FD18CF"/>
    <w:rsid w:val="00FE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2A36E"/>
  <w15:docId w15:val="{8951EE3B-A2C3-4771-8824-5BDCCB19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1"/>
    <w:uiPriority w:val="34"/>
    <w:qFormat/>
    <w:rsid w:val="006B1965"/>
    <w:pPr>
      <w:ind w:left="720"/>
      <w:contextualSpacing/>
    </w:pPr>
  </w:style>
  <w:style w:type="paragraph" w:styleId="NormalWeb">
    <w:name w:val="Normal (Web)"/>
    <w:basedOn w:val="Normal1"/>
    <w:uiPriority w:val="99"/>
    <w:unhideWhenUsed/>
    <w:rsid w:val="009212BA"/>
    <w:pPr>
      <w:spacing w:before="100" w:beforeAutospacing="1" w:after="100" w:afterAutospacing="1"/>
    </w:pPr>
    <w:rPr>
      <w:rFonts w:ascii="Times New Roman" w:eastAsia="Times New Roman" w:hAnsi="Times New Roman" w:cs="Times New Roman"/>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NormalTable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1"/>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1"/>
    <w:link w:val="FooterChar"/>
    <w:uiPriority w:val="99"/>
    <w:unhideWhenUsed/>
    <w:pPr>
      <w:tabs>
        <w:tab w:val="center" w:pos="4680"/>
        <w:tab w:val="right" w:pos="9360"/>
      </w:tabs>
    </w:p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NormalTable1"/>
    <w:tblPr>
      <w:tblStyleRowBandSize w:val="1"/>
      <w:tblStyleColBandSize w:val="1"/>
    </w:tblPr>
  </w:style>
  <w:style w:type="table" w:customStyle="1" w:styleId="a0">
    <w:basedOn w:val="NormalTable1"/>
    <w:tblPr>
      <w:tblStyleRowBandSize w:val="1"/>
      <w:tblStyleColBandSize w:val="1"/>
    </w:tblPr>
  </w:style>
  <w:style w:type="character" w:styleId="Hyperlink">
    <w:name w:val="Hyperlink"/>
    <w:basedOn w:val="DefaultParagraphFont"/>
    <w:uiPriority w:val="99"/>
    <w:unhideWhenUsed/>
    <w:rsid w:val="005339A4"/>
    <w:rPr>
      <w:color w:val="0000FF"/>
      <w:u w:val="single"/>
    </w:rPr>
  </w:style>
  <w:style w:type="character" w:styleId="UnresolvedMention">
    <w:name w:val="Unresolved Mention"/>
    <w:basedOn w:val="DefaultParagraphFont"/>
    <w:uiPriority w:val="99"/>
    <w:semiHidden/>
    <w:unhideWhenUsed/>
    <w:rsid w:val="005339A4"/>
    <w:rPr>
      <w:color w:val="605E5C"/>
      <w:shd w:val="clear" w:color="auto" w:fill="E1DFDD"/>
    </w:rPr>
  </w:style>
  <w:style w:type="character" w:styleId="FollowedHyperlink">
    <w:name w:val="FollowedHyperlink"/>
    <w:basedOn w:val="DefaultParagraphFont"/>
    <w:uiPriority w:val="99"/>
    <w:semiHidden/>
    <w:unhideWhenUsed/>
    <w:rsid w:val="00572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01830">
      <w:bodyDiv w:val="1"/>
      <w:marLeft w:val="0"/>
      <w:marRight w:val="0"/>
      <w:marTop w:val="0"/>
      <w:marBottom w:val="0"/>
      <w:divBdr>
        <w:top w:val="none" w:sz="0" w:space="0" w:color="auto"/>
        <w:left w:val="none" w:sz="0" w:space="0" w:color="auto"/>
        <w:bottom w:val="none" w:sz="0" w:space="0" w:color="auto"/>
        <w:right w:val="none" w:sz="0" w:space="0" w:color="auto"/>
      </w:divBdr>
      <w:divsChild>
        <w:div w:id="759108995">
          <w:marLeft w:val="864"/>
          <w:marRight w:val="0"/>
          <w:marTop w:val="0"/>
          <w:marBottom w:val="120"/>
          <w:divBdr>
            <w:top w:val="none" w:sz="0" w:space="0" w:color="auto"/>
            <w:left w:val="none" w:sz="0" w:space="0" w:color="auto"/>
            <w:bottom w:val="none" w:sz="0" w:space="0" w:color="auto"/>
            <w:right w:val="none" w:sz="0" w:space="0" w:color="auto"/>
          </w:divBdr>
        </w:div>
        <w:div w:id="2070374853">
          <w:marLeft w:val="864"/>
          <w:marRight w:val="0"/>
          <w:marTop w:val="0"/>
          <w:marBottom w:val="120"/>
          <w:divBdr>
            <w:top w:val="none" w:sz="0" w:space="0" w:color="auto"/>
            <w:left w:val="none" w:sz="0" w:space="0" w:color="auto"/>
            <w:bottom w:val="none" w:sz="0" w:space="0" w:color="auto"/>
            <w:right w:val="none" w:sz="0" w:space="0" w:color="auto"/>
          </w:divBdr>
        </w:div>
        <w:div w:id="1583685785">
          <w:marLeft w:val="864"/>
          <w:marRight w:val="0"/>
          <w:marTop w:val="0"/>
          <w:marBottom w:val="120"/>
          <w:divBdr>
            <w:top w:val="none" w:sz="0" w:space="0" w:color="auto"/>
            <w:left w:val="none" w:sz="0" w:space="0" w:color="auto"/>
            <w:bottom w:val="none" w:sz="0" w:space="0" w:color="auto"/>
            <w:right w:val="none" w:sz="0" w:space="0" w:color="auto"/>
          </w:divBdr>
        </w:div>
        <w:div w:id="1857882707">
          <w:marLeft w:val="864"/>
          <w:marRight w:val="0"/>
          <w:marTop w:val="0"/>
          <w:marBottom w:val="120"/>
          <w:divBdr>
            <w:top w:val="none" w:sz="0" w:space="0" w:color="auto"/>
            <w:left w:val="none" w:sz="0" w:space="0" w:color="auto"/>
            <w:bottom w:val="none" w:sz="0" w:space="0" w:color="auto"/>
            <w:right w:val="none" w:sz="0" w:space="0" w:color="auto"/>
          </w:divBdr>
        </w:div>
      </w:divsChild>
    </w:div>
    <w:div w:id="827675154">
      <w:bodyDiv w:val="1"/>
      <w:marLeft w:val="0"/>
      <w:marRight w:val="0"/>
      <w:marTop w:val="0"/>
      <w:marBottom w:val="0"/>
      <w:divBdr>
        <w:top w:val="none" w:sz="0" w:space="0" w:color="auto"/>
        <w:left w:val="none" w:sz="0" w:space="0" w:color="auto"/>
        <w:bottom w:val="none" w:sz="0" w:space="0" w:color="auto"/>
        <w:right w:val="none" w:sz="0" w:space="0" w:color="auto"/>
      </w:divBdr>
    </w:div>
    <w:div w:id="1018432374">
      <w:bodyDiv w:val="1"/>
      <w:marLeft w:val="0"/>
      <w:marRight w:val="0"/>
      <w:marTop w:val="0"/>
      <w:marBottom w:val="0"/>
      <w:divBdr>
        <w:top w:val="none" w:sz="0" w:space="0" w:color="auto"/>
        <w:left w:val="none" w:sz="0" w:space="0" w:color="auto"/>
        <w:bottom w:val="none" w:sz="0" w:space="0" w:color="auto"/>
        <w:right w:val="none" w:sz="0" w:space="0" w:color="auto"/>
      </w:divBdr>
      <w:divsChild>
        <w:div w:id="866219875">
          <w:marLeft w:val="432"/>
          <w:marRight w:val="0"/>
          <w:marTop w:val="0"/>
          <w:marBottom w:val="120"/>
          <w:divBdr>
            <w:top w:val="none" w:sz="0" w:space="0" w:color="auto"/>
            <w:left w:val="none" w:sz="0" w:space="0" w:color="auto"/>
            <w:bottom w:val="none" w:sz="0" w:space="0" w:color="auto"/>
            <w:right w:val="none" w:sz="0" w:space="0" w:color="auto"/>
          </w:divBdr>
        </w:div>
      </w:divsChild>
    </w:div>
    <w:div w:id="1059599054">
      <w:bodyDiv w:val="1"/>
      <w:marLeft w:val="0"/>
      <w:marRight w:val="0"/>
      <w:marTop w:val="0"/>
      <w:marBottom w:val="0"/>
      <w:divBdr>
        <w:top w:val="none" w:sz="0" w:space="0" w:color="auto"/>
        <w:left w:val="none" w:sz="0" w:space="0" w:color="auto"/>
        <w:bottom w:val="none" w:sz="0" w:space="0" w:color="auto"/>
        <w:right w:val="none" w:sz="0" w:space="0" w:color="auto"/>
      </w:divBdr>
      <w:divsChild>
        <w:div w:id="297689171">
          <w:marLeft w:val="432"/>
          <w:marRight w:val="0"/>
          <w:marTop w:val="0"/>
          <w:marBottom w:val="120"/>
          <w:divBdr>
            <w:top w:val="none" w:sz="0" w:space="0" w:color="auto"/>
            <w:left w:val="none" w:sz="0" w:space="0" w:color="auto"/>
            <w:bottom w:val="none" w:sz="0" w:space="0" w:color="auto"/>
            <w:right w:val="none" w:sz="0" w:space="0" w:color="auto"/>
          </w:divBdr>
        </w:div>
        <w:div w:id="1708799966">
          <w:marLeft w:val="864"/>
          <w:marRight w:val="0"/>
          <w:marTop w:val="0"/>
          <w:marBottom w:val="120"/>
          <w:divBdr>
            <w:top w:val="none" w:sz="0" w:space="0" w:color="auto"/>
            <w:left w:val="none" w:sz="0" w:space="0" w:color="auto"/>
            <w:bottom w:val="none" w:sz="0" w:space="0" w:color="auto"/>
            <w:right w:val="none" w:sz="0" w:space="0" w:color="auto"/>
          </w:divBdr>
        </w:div>
        <w:div w:id="2072775175">
          <w:marLeft w:val="1296"/>
          <w:marRight w:val="0"/>
          <w:marTop w:val="0"/>
          <w:marBottom w:val="120"/>
          <w:divBdr>
            <w:top w:val="none" w:sz="0" w:space="0" w:color="auto"/>
            <w:left w:val="none" w:sz="0" w:space="0" w:color="auto"/>
            <w:bottom w:val="none" w:sz="0" w:space="0" w:color="auto"/>
            <w:right w:val="none" w:sz="0" w:space="0" w:color="auto"/>
          </w:divBdr>
        </w:div>
        <w:div w:id="1585801979">
          <w:marLeft w:val="864"/>
          <w:marRight w:val="0"/>
          <w:marTop w:val="0"/>
          <w:marBottom w:val="120"/>
          <w:divBdr>
            <w:top w:val="none" w:sz="0" w:space="0" w:color="auto"/>
            <w:left w:val="none" w:sz="0" w:space="0" w:color="auto"/>
            <w:bottom w:val="none" w:sz="0" w:space="0" w:color="auto"/>
            <w:right w:val="none" w:sz="0" w:space="0" w:color="auto"/>
          </w:divBdr>
        </w:div>
        <w:div w:id="981957286">
          <w:marLeft w:val="1296"/>
          <w:marRight w:val="0"/>
          <w:marTop w:val="0"/>
          <w:marBottom w:val="120"/>
          <w:divBdr>
            <w:top w:val="none" w:sz="0" w:space="0" w:color="auto"/>
            <w:left w:val="none" w:sz="0" w:space="0" w:color="auto"/>
            <w:bottom w:val="none" w:sz="0" w:space="0" w:color="auto"/>
            <w:right w:val="none" w:sz="0" w:space="0" w:color="auto"/>
          </w:divBdr>
        </w:div>
        <w:div w:id="1366826866">
          <w:marLeft w:val="1296"/>
          <w:marRight w:val="0"/>
          <w:marTop w:val="0"/>
          <w:marBottom w:val="120"/>
          <w:divBdr>
            <w:top w:val="none" w:sz="0" w:space="0" w:color="auto"/>
            <w:left w:val="none" w:sz="0" w:space="0" w:color="auto"/>
            <w:bottom w:val="none" w:sz="0" w:space="0" w:color="auto"/>
            <w:right w:val="none" w:sz="0" w:space="0" w:color="auto"/>
          </w:divBdr>
        </w:div>
        <w:div w:id="869487788">
          <w:marLeft w:val="864"/>
          <w:marRight w:val="0"/>
          <w:marTop w:val="0"/>
          <w:marBottom w:val="120"/>
          <w:divBdr>
            <w:top w:val="none" w:sz="0" w:space="0" w:color="auto"/>
            <w:left w:val="none" w:sz="0" w:space="0" w:color="auto"/>
            <w:bottom w:val="none" w:sz="0" w:space="0" w:color="auto"/>
            <w:right w:val="none" w:sz="0" w:space="0" w:color="auto"/>
          </w:divBdr>
        </w:div>
        <w:div w:id="122430498">
          <w:marLeft w:val="864"/>
          <w:marRight w:val="0"/>
          <w:marTop w:val="0"/>
          <w:marBottom w:val="120"/>
          <w:divBdr>
            <w:top w:val="none" w:sz="0" w:space="0" w:color="auto"/>
            <w:left w:val="none" w:sz="0" w:space="0" w:color="auto"/>
            <w:bottom w:val="none" w:sz="0" w:space="0" w:color="auto"/>
            <w:right w:val="none" w:sz="0" w:space="0" w:color="auto"/>
          </w:divBdr>
        </w:div>
      </w:divsChild>
    </w:div>
    <w:div w:id="1521965761">
      <w:bodyDiv w:val="1"/>
      <w:marLeft w:val="0"/>
      <w:marRight w:val="0"/>
      <w:marTop w:val="0"/>
      <w:marBottom w:val="0"/>
      <w:divBdr>
        <w:top w:val="none" w:sz="0" w:space="0" w:color="auto"/>
        <w:left w:val="none" w:sz="0" w:space="0" w:color="auto"/>
        <w:bottom w:val="none" w:sz="0" w:space="0" w:color="auto"/>
        <w:right w:val="none" w:sz="0" w:space="0" w:color="auto"/>
      </w:divBdr>
    </w:div>
    <w:div w:id="1611814176">
      <w:bodyDiv w:val="1"/>
      <w:marLeft w:val="0"/>
      <w:marRight w:val="0"/>
      <w:marTop w:val="0"/>
      <w:marBottom w:val="0"/>
      <w:divBdr>
        <w:top w:val="none" w:sz="0" w:space="0" w:color="auto"/>
        <w:left w:val="none" w:sz="0" w:space="0" w:color="auto"/>
        <w:bottom w:val="none" w:sz="0" w:space="0" w:color="auto"/>
        <w:right w:val="none" w:sz="0" w:space="0" w:color="auto"/>
      </w:divBdr>
    </w:div>
    <w:div w:id="1865705646">
      <w:bodyDiv w:val="1"/>
      <w:marLeft w:val="0"/>
      <w:marRight w:val="0"/>
      <w:marTop w:val="0"/>
      <w:marBottom w:val="0"/>
      <w:divBdr>
        <w:top w:val="none" w:sz="0" w:space="0" w:color="auto"/>
        <w:left w:val="none" w:sz="0" w:space="0" w:color="auto"/>
        <w:bottom w:val="none" w:sz="0" w:space="0" w:color="auto"/>
        <w:right w:val="none" w:sz="0" w:space="0" w:color="auto"/>
      </w:divBdr>
      <w:divsChild>
        <w:div w:id="1129400993">
          <w:marLeft w:val="432"/>
          <w:marRight w:val="0"/>
          <w:marTop w:val="0"/>
          <w:marBottom w:val="120"/>
          <w:divBdr>
            <w:top w:val="none" w:sz="0" w:space="0" w:color="auto"/>
            <w:left w:val="none" w:sz="0" w:space="0" w:color="auto"/>
            <w:bottom w:val="none" w:sz="0" w:space="0" w:color="auto"/>
            <w:right w:val="none" w:sz="0" w:space="0" w:color="auto"/>
          </w:divBdr>
        </w:div>
        <w:div w:id="1119957182">
          <w:marLeft w:val="864"/>
          <w:marRight w:val="0"/>
          <w:marTop w:val="0"/>
          <w:marBottom w:val="120"/>
          <w:divBdr>
            <w:top w:val="none" w:sz="0" w:space="0" w:color="auto"/>
            <w:left w:val="none" w:sz="0" w:space="0" w:color="auto"/>
            <w:bottom w:val="none" w:sz="0" w:space="0" w:color="auto"/>
            <w:right w:val="none" w:sz="0" w:space="0" w:color="auto"/>
          </w:divBdr>
        </w:div>
        <w:div w:id="1199197390">
          <w:marLeft w:val="864"/>
          <w:marRight w:val="0"/>
          <w:marTop w:val="0"/>
          <w:marBottom w:val="120"/>
          <w:divBdr>
            <w:top w:val="none" w:sz="0" w:space="0" w:color="auto"/>
            <w:left w:val="none" w:sz="0" w:space="0" w:color="auto"/>
            <w:bottom w:val="none" w:sz="0" w:space="0" w:color="auto"/>
            <w:right w:val="none" w:sz="0" w:space="0" w:color="auto"/>
          </w:divBdr>
        </w:div>
        <w:div w:id="671302226">
          <w:marLeft w:val="864"/>
          <w:marRight w:val="0"/>
          <w:marTop w:val="0"/>
          <w:marBottom w:val="120"/>
          <w:divBdr>
            <w:top w:val="none" w:sz="0" w:space="0" w:color="auto"/>
            <w:left w:val="none" w:sz="0" w:space="0" w:color="auto"/>
            <w:bottom w:val="none" w:sz="0" w:space="0" w:color="auto"/>
            <w:right w:val="none" w:sz="0" w:space="0" w:color="auto"/>
          </w:divBdr>
        </w:div>
      </w:divsChild>
    </w:div>
    <w:div w:id="1964732450">
      <w:bodyDiv w:val="1"/>
      <w:marLeft w:val="0"/>
      <w:marRight w:val="0"/>
      <w:marTop w:val="0"/>
      <w:marBottom w:val="0"/>
      <w:divBdr>
        <w:top w:val="none" w:sz="0" w:space="0" w:color="auto"/>
        <w:left w:val="none" w:sz="0" w:space="0" w:color="auto"/>
        <w:bottom w:val="none" w:sz="0" w:space="0" w:color="auto"/>
        <w:right w:val="none" w:sz="0" w:space="0" w:color="auto"/>
      </w:divBdr>
      <w:divsChild>
        <w:div w:id="1779064232">
          <w:marLeft w:val="432"/>
          <w:marRight w:val="0"/>
          <w:marTop w:val="0"/>
          <w:marBottom w:val="120"/>
          <w:divBdr>
            <w:top w:val="none" w:sz="0" w:space="0" w:color="auto"/>
            <w:left w:val="none" w:sz="0" w:space="0" w:color="auto"/>
            <w:bottom w:val="none" w:sz="0" w:space="0" w:color="auto"/>
            <w:right w:val="none" w:sz="0" w:space="0" w:color="auto"/>
          </w:divBdr>
        </w:div>
        <w:div w:id="40634566">
          <w:marLeft w:val="864"/>
          <w:marRight w:val="0"/>
          <w:marTop w:val="0"/>
          <w:marBottom w:val="120"/>
          <w:divBdr>
            <w:top w:val="none" w:sz="0" w:space="0" w:color="auto"/>
            <w:left w:val="none" w:sz="0" w:space="0" w:color="auto"/>
            <w:bottom w:val="none" w:sz="0" w:space="0" w:color="auto"/>
            <w:right w:val="none" w:sz="0" w:space="0" w:color="auto"/>
          </w:divBdr>
        </w:div>
        <w:div w:id="559823216">
          <w:marLeft w:val="864"/>
          <w:marRight w:val="0"/>
          <w:marTop w:val="0"/>
          <w:marBottom w:val="120"/>
          <w:divBdr>
            <w:top w:val="none" w:sz="0" w:space="0" w:color="auto"/>
            <w:left w:val="none" w:sz="0" w:space="0" w:color="auto"/>
            <w:bottom w:val="none" w:sz="0" w:space="0" w:color="auto"/>
            <w:right w:val="none" w:sz="0" w:space="0" w:color="auto"/>
          </w:divBdr>
        </w:div>
        <w:div w:id="1330017771">
          <w:marLeft w:val="864"/>
          <w:marRight w:val="0"/>
          <w:marTop w:val="0"/>
          <w:marBottom w:val="120"/>
          <w:divBdr>
            <w:top w:val="none" w:sz="0" w:space="0" w:color="auto"/>
            <w:left w:val="none" w:sz="0" w:space="0" w:color="auto"/>
            <w:bottom w:val="none" w:sz="0" w:space="0" w:color="auto"/>
            <w:right w:val="none" w:sz="0" w:space="0" w:color="auto"/>
          </w:divBdr>
        </w:div>
      </w:divsChild>
    </w:div>
    <w:div w:id="2136289660">
      <w:bodyDiv w:val="1"/>
      <w:marLeft w:val="0"/>
      <w:marRight w:val="0"/>
      <w:marTop w:val="0"/>
      <w:marBottom w:val="0"/>
      <w:divBdr>
        <w:top w:val="none" w:sz="0" w:space="0" w:color="auto"/>
        <w:left w:val="none" w:sz="0" w:space="0" w:color="auto"/>
        <w:bottom w:val="none" w:sz="0" w:space="0" w:color="auto"/>
        <w:right w:val="none" w:sz="0" w:space="0" w:color="auto"/>
      </w:divBdr>
      <w:divsChild>
        <w:div w:id="336156749">
          <w:marLeft w:val="432"/>
          <w:marRight w:val="0"/>
          <w:marTop w:val="0"/>
          <w:marBottom w:val="120"/>
          <w:divBdr>
            <w:top w:val="none" w:sz="0" w:space="0" w:color="auto"/>
            <w:left w:val="none" w:sz="0" w:space="0" w:color="auto"/>
            <w:bottom w:val="none" w:sz="0" w:space="0" w:color="auto"/>
            <w:right w:val="none" w:sz="0" w:space="0" w:color="auto"/>
          </w:divBdr>
        </w:div>
        <w:div w:id="760297737">
          <w:marLeft w:val="864"/>
          <w:marRight w:val="0"/>
          <w:marTop w:val="0"/>
          <w:marBottom w:val="120"/>
          <w:divBdr>
            <w:top w:val="none" w:sz="0" w:space="0" w:color="auto"/>
            <w:left w:val="none" w:sz="0" w:space="0" w:color="auto"/>
            <w:bottom w:val="none" w:sz="0" w:space="0" w:color="auto"/>
            <w:right w:val="none" w:sz="0" w:space="0" w:color="auto"/>
          </w:divBdr>
        </w:div>
        <w:div w:id="1170944967">
          <w:marLeft w:val="864"/>
          <w:marRight w:val="0"/>
          <w:marTop w:val="0"/>
          <w:marBottom w:val="120"/>
          <w:divBdr>
            <w:top w:val="none" w:sz="0" w:space="0" w:color="auto"/>
            <w:left w:val="none" w:sz="0" w:space="0" w:color="auto"/>
            <w:bottom w:val="none" w:sz="0" w:space="0" w:color="auto"/>
            <w:right w:val="none" w:sz="0" w:space="0" w:color="auto"/>
          </w:divBdr>
        </w:div>
        <w:div w:id="1191607082">
          <w:marLeft w:val="864"/>
          <w:marRight w:val="0"/>
          <w:marTop w:val="0"/>
          <w:marBottom w:val="120"/>
          <w:divBdr>
            <w:top w:val="none" w:sz="0" w:space="0" w:color="auto"/>
            <w:left w:val="none" w:sz="0" w:space="0" w:color="auto"/>
            <w:bottom w:val="none" w:sz="0" w:space="0" w:color="auto"/>
            <w:right w:val="none" w:sz="0" w:space="0" w:color="auto"/>
          </w:divBdr>
        </w:div>
        <w:div w:id="1888255682">
          <w:marLeft w:val="864"/>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ff.org/private-insurance/issue-brief/claims-denials-and-appeals-in-aca-marketplace-pla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care.gov/appeal-insurance-company-decis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appeal-insurance-company-decision/external-revi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althcare.gov/appeal-insurance-company-deci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care.gov/appeal-insurance-company-decision/internal-appeal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gnllk0fYnZgxUoOVLI7Y25qNDA==">AMUW2mXb9N2Mdtx5qClB2DZuF2SczyXYbN+OvY3l+BP71aAWrWMYKxZSAotlXr1hxJ2ipl5XSxWKNwokn0EKK+LtuKTXsSvLHdbl/Pse2kYjkhXIfLTW4Js=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2023-10-30T15:16:00Z</dcterms:created>
  <dcterms:modified xsi:type="dcterms:W3CDTF">2023-10-30T15:16:00Z</dcterms:modified>
</cp:coreProperties>
</file>